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4255"/>
        <w:gridCol w:w="4255"/>
      </w:tblGrid>
      <w:tr>
        <w:tc>
          <w:tcPr>
            <w:tcW w:type="dxa" w:w="4255"/>
            <w:tcBorders>
              <w:top w:val="nil"/>
              <w:left w:val="nil"/>
              <w:bottom w:val="nil"/>
              <w:right w:val="nil"/>
            </w:tcBorders>
          </w:tcPr>
          <w:p>
            <w:pPr>
              <w:jc w:val="left"/>
            </w:pPr>
            <w:r>
              <w:drawing>
                <wp:inline xmlns:a="http://schemas.openxmlformats.org/drawingml/2006/main" xmlns:pic="http://schemas.openxmlformats.org/drawingml/2006/picture">
                  <wp:extent cx="792000" cy="792000"/>
                  <wp:docPr id="1" name="Picture 1"/>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792000" cy="792000"/>
                          </a:xfrm>
                          <a:prstGeom prst="rect"/>
                        </pic:spPr>
                      </pic:pic>
                    </a:graphicData>
                  </a:graphic>
                </wp:inline>
              </w:drawing>
            </w:r>
          </w:p>
        </w:tc>
        <w:tc>
          <w:tcPr>
            <w:tcW w:type="dxa" w:w="4255"/>
            <w:tcBorders>
              <w:top w:val="nil"/>
              <w:left w:val="nil"/>
              <w:bottom w:val="nil"/>
              <w:right w:val="nil"/>
            </w:tcBorders>
          </w:tcPr>
          <w:p>
            <w:pPr>
              <w:jc w:val="right"/>
            </w:pPr>
            <w:r>
              <w:drawing>
                <wp:inline xmlns:a="http://schemas.openxmlformats.org/drawingml/2006/main" xmlns:pic="http://schemas.openxmlformats.org/drawingml/2006/picture">
                  <wp:extent cx="1440000" cy="1220870"/>
                  <wp:docPr id="2" name="Picture 2"/>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440000" cy="1220870"/>
                          </a:xfrm>
                          <a:prstGeom prst="rect"/>
                        </pic:spPr>
                      </pic:pic>
                    </a:graphicData>
                  </a:graphic>
                </wp:inline>
              </w:drawing>
            </w:r>
          </w:p>
        </w:tc>
      </w:tr>
    </w:tbl>
    <w:p>
      <w:pPr>
        <w:spacing w:after="40"/>
        <w:pBdr>
          <w:bottom w:val="single" w:sz="8" w:space="1" w:color="000000"/>
        </w:pBdr>
      </w:pPr>
    </w:p>
    <w:p>
      <w:pPr>
        <w:spacing w:after="0"/>
        <w:jc w:val="center"/>
      </w:pPr>
      <w:r>
        <w:rPr>
          <w:rFonts w:ascii="Times New Roman" w:hAnsi="Times New Roman" w:eastAsia="Times New Roman"/>
          <w:b w:val="0"/>
          <w:i w:val="0"/>
          <w:sz w:val="24"/>
        </w:rPr>
        <w:t>Nitrianske kompetenčné centrum kybernetickej bezpečnosti</w:t>
      </w:r>
    </w:p>
    <w:p>
      <w:pPr>
        <w:spacing w:after="0"/>
        <w:jc w:val="center"/>
      </w:pPr>
      <w:r>
        <w:rPr>
          <w:rFonts w:ascii="Times New Roman" w:hAnsi="Times New Roman" w:eastAsia="Times New Roman"/>
          <w:b w:val="0"/>
          <w:i w:val="0"/>
          <w:sz w:val="24"/>
        </w:rPr>
        <w:t>Fakulta prírodných vied a informatiky</w:t>
      </w:r>
    </w:p>
    <w:p>
      <w:pPr>
        <w:spacing w:after="0"/>
        <w:jc w:val="center"/>
      </w:pPr>
      <w:r>
        <w:rPr>
          <w:rFonts w:ascii="Times New Roman" w:hAnsi="Times New Roman" w:eastAsia="Times New Roman"/>
          <w:b w:val="0"/>
          <w:i w:val="0"/>
          <w:sz w:val="24"/>
        </w:rPr>
        <w:t>Univerzita Konštantína Filozofa v Nitre</w:t>
      </w:r>
    </w:p>
    <w:p>
      <w:pPr>
        <w:spacing w:after="0"/>
        <w:jc w:val="center"/>
      </w:pPr>
      <w:r>
        <w:rPr>
          <w:rFonts w:ascii="Times New Roman" w:hAnsi="Times New Roman" w:eastAsia="Times New Roman"/>
          <w:b w:val="0"/>
          <w:i w:val="0"/>
          <w:sz w:val="24"/>
        </w:rPr>
        <w:t>Tr. A. Hlinku 1, 949 01 Nitra</w:t>
      </w:r>
    </w:p>
    <w:p>
      <w:pPr>
        <w:spacing w:before="20"/>
        <w:pBdr>
          <w:bottom w:val="single" w:sz="8" w:space="1" w:color="000000"/>
        </w:pBdr>
      </w:pPr>
    </w:p>
    <w:p/>
    <w:p/>
    <w:p/>
    <w:p/>
    <w:p/>
    <w:p>
      <w:pPr>
        <w:spacing w:line="288" w:lineRule="auto" w:after="400"/>
        <w:jc w:val="center"/>
      </w:pPr>
      <w:r>
        <w:rPr>
          <w:rFonts w:ascii="Times New Roman" w:hAnsi="Times New Roman" w:eastAsia="Times New Roman"/>
          <w:b/>
          <w:color w:val="2A5D6C"/>
          <w:sz w:val="42"/>
        </w:rPr>
        <w:t>OBSAH WORKSHOPU</w:t>
        <w:br/>
      </w:r>
      <w:r>
        <w:rPr>
          <w:rFonts w:ascii="Times New Roman" w:hAnsi="Times New Roman" w:eastAsia="Times New Roman"/>
          <w:b/>
          <w:color w:val="2A5D6C"/>
          <w:sz w:val="40"/>
        </w:rPr>
        <w:t>DVOJFAKTOROVÁ AUTENTIFIKÁCIA:</w:t>
        <w:br/>
      </w:r>
      <w:r>
        <w:rPr>
          <w:rFonts w:ascii="Times New Roman" w:hAnsi="Times New Roman" w:eastAsia="Times New Roman"/>
          <w:b/>
          <w:color w:val="2A5D6C"/>
          <w:sz w:val="40"/>
        </w:rPr>
        <w:t>STE NAOZAJ V BEZPEČÍ?</w:t>
      </w:r>
    </w:p>
    <w:p>
      <w:pPr>
        <w:spacing w:after="120"/>
        <w:jc w:val="center"/>
      </w:pPr>
      <w:r>
        <w:rPr>
          <w:rFonts w:ascii="Times New Roman" w:hAnsi="Times New Roman" w:eastAsia="Times New Roman"/>
          <w:b w:val="0"/>
          <w:i/>
          <w:color w:val="505050"/>
          <w:sz w:val="24"/>
        </w:rPr>
        <w:t>Metodický podklad pre bezpečnostný workshop a výučbu kybernetickej bezpečnosti</w:t>
      </w:r>
    </w:p>
    <w:p>
      <w:pPr>
        <w:jc w:val="center"/>
      </w:pPr>
      <w:r>
        <w:rPr>
          <w:rFonts w:ascii="Times New Roman" w:hAnsi="Times New Roman" w:eastAsia="Times New Roman"/>
          <w:b w:val="0"/>
          <w:i w:val="0"/>
          <w:color w:val="505050"/>
          <w:sz w:val="22"/>
        </w:rPr>
        <w:t>Zameranie: bezpečné používanie, hodnotenie a návrh odolnej MFA autentifikácie</w:t>
      </w:r>
    </w:p>
    <w:p>
      <w:r>
        <w:br w:type="page"/>
      </w:r>
    </w:p>
    <w:p>
      <w:pPr>
        <w:pStyle w:val="Heading1"/>
        <w:keepNext/>
        <w:spacing w:before="240" w:after="160"/>
      </w:pPr>
      <w:r>
        <w:rPr>
          <w:rFonts w:ascii="Times New Roman" w:hAnsi="Times New Roman" w:eastAsia="Times New Roman"/>
          <w:b/>
          <w:color w:val="2A5D6C"/>
          <w:sz w:val="36"/>
        </w:rPr>
        <w:t>Úvod a účel dokumentu</w:t>
      </w:r>
    </w:p>
    <w:p>
      <w:pPr>
        <w:spacing w:before="0" w:after="120" w:line="259" w:lineRule="auto"/>
      </w:pPr>
      <w:r>
        <w:rPr>
          <w:rFonts w:ascii="Times New Roman" w:hAnsi="Times New Roman" w:eastAsia="Times New Roman"/>
          <w:b w:val="0"/>
          <w:i w:val="0"/>
          <w:sz w:val="22"/>
        </w:rPr>
        <w:t>Tento dokument je návrhom obsahu workshopu s názvom „Dvojfaktorová autentifikácia: ste naozaj v bezpečí?“. Workshop je určený pre študentov, učiteľov odborných predmetov a začínajúcich správcov alebo vývojárov, ktorí už poznajú základné prihlasovanie heslom, ale potrebujú pochopiť praktické limity dvojfaktorovej a viacfaktorovej autentifikácie.</w:t>
      </w:r>
    </w:p>
    <w:p>
      <w:pPr>
        <w:spacing w:before="0" w:after="120" w:line="259" w:lineRule="auto"/>
      </w:pPr>
      <w:r>
        <w:rPr>
          <w:rFonts w:ascii="Times New Roman" w:hAnsi="Times New Roman" w:eastAsia="Times New Roman"/>
          <w:b w:val="0"/>
          <w:i w:val="0"/>
          <w:sz w:val="22"/>
        </w:rPr>
        <w:t>Hlavnou myšlienkou workshopu je ukázať, že zapnutá 2FA výrazne znižuje riziko kompromitácie účtu, ale sama osebe neznamená absolútnu bezpečnosť. Účastníci majú pochopiť rozdiel medzi slabšími, „phishable“ formami MFA a odolnejšími prístupmi, najmä FIDO2/WebAuthn a passkeys.</w:t>
      </w:r>
    </w:p>
    <w:tbl>
      <w:tblGrid>
        <w:gridCol w:w="8731"/>
      </w:tblGrid>
      <w:tblPr>
        <w:tblW w:type="dxa" w:w="8731"/>
        <w:jc w:val="center"/>
        <w:tblLayout w:type="fixed"/>
        <w:tblLook w:firstColumn="1" w:firstRow="1" w:lastColumn="0" w:lastRow="0" w:noHBand="0" w:noVBand="1" w:val="04A0"/>
      </w:tblPr>
      <w:tr>
        <w:tc>
          <w:tcPr>
            <w:tcW w:type="dxa" w:w="8731"/>
            <w:shd w:fill="FFF2CC"/>
            <w:tcBorders>
              <w:top w:val="single" w:sz="6" w:color="B7C6CC"/>
              <w:left w:val="single" w:sz="6" w:color="B7C6CC"/>
              <w:bottom w:val="single" w:sz="6" w:color="B7C6CC"/>
              <w:right w:val="single" w:sz="6" w:color="B7C6CC"/>
            </w:tcBorders>
          </w:tcPr>
          <w:p>
            <w:pPr>
              <w:spacing w:before="0" w:after="60" w:line="240" w:lineRule="auto"/>
            </w:pPr>
            <w:r>
              <w:rPr>
                <w:rFonts w:ascii="Times New Roman" w:hAnsi="Times New Roman" w:eastAsia="Times New Roman"/>
                <w:b/>
                <w:i w:val="0"/>
                <w:color w:val="2A5D6C"/>
                <w:sz w:val="21"/>
              </w:rPr>
              <w:t>Bezpečnostné vymedzenie workshopu</w:t>
            </w:r>
          </w:p>
          <w:p>
            <w:pPr>
              <w:spacing w:before="0" w:after="40" w:line="252" w:lineRule="auto"/>
            </w:pPr>
            <w:r>
              <w:rPr>
                <w:rFonts w:ascii="Times New Roman" w:hAnsi="Times New Roman" w:eastAsia="Times New Roman"/>
                <w:b w:val="0"/>
                <w:i w:val="0"/>
                <w:sz w:val="19"/>
              </w:rPr>
              <w:t>Workshop je koncipovaný výlučne ako obranné a etické vzdelávanie.</w:t>
            </w:r>
          </w:p>
          <w:p>
            <w:pPr>
              <w:spacing w:before="0" w:after="40" w:line="252" w:lineRule="auto"/>
            </w:pPr>
            <w:r>
              <w:rPr>
                <w:rFonts w:ascii="Times New Roman" w:hAnsi="Times New Roman" w:eastAsia="Times New Roman"/>
                <w:b w:val="0"/>
                <w:i w:val="0"/>
                <w:sz w:val="19"/>
              </w:rPr>
              <w:t>Nepoužívajú sa reálne prihlasovacie údaje, reálne univerzitné účty ani verejné identity provider služby.</w:t>
            </w:r>
          </w:p>
          <w:p>
            <w:pPr>
              <w:spacing w:before="0" w:after="40" w:line="252" w:lineRule="auto"/>
            </w:pPr>
            <w:r>
              <w:rPr>
                <w:rFonts w:ascii="Times New Roman" w:hAnsi="Times New Roman" w:eastAsia="Times New Roman"/>
                <w:b w:val="0"/>
                <w:i w:val="0"/>
                <w:sz w:val="19"/>
              </w:rPr>
              <w:t>Demonštrácie majú prebiehať na lokálnych modelových obrazovkách, syntetických logoch alebo izolovanej demo aplikácii.</w:t>
            </w:r>
          </w:p>
          <w:p>
            <w:pPr>
              <w:spacing w:before="0" w:after="40" w:line="252" w:lineRule="auto"/>
            </w:pPr>
            <w:r>
              <w:rPr>
                <w:rFonts w:ascii="Times New Roman" w:hAnsi="Times New Roman" w:eastAsia="Times New Roman"/>
                <w:b w:val="0"/>
                <w:i w:val="0"/>
                <w:sz w:val="19"/>
              </w:rPr>
              <w:t>Cieľom nie je naučiť účastníkov obchádzať 2FA v praxi, ale rozpoznať riziká a navrhnúť bezpečnejšie opatrenia.</w:t>
            </w:r>
          </w:p>
        </w:tc>
      </w:tr>
    </w:tbl>
    <w:p>
      <w:pPr>
        <w:spacing w:after="40"/>
      </w:pPr>
    </w:p>
    <w:p>
      <w:pPr>
        <w:pStyle w:val="Heading1"/>
        <w:keepNext/>
        <w:spacing w:before="240" w:after="160"/>
      </w:pPr>
      <w:r>
        <w:rPr>
          <w:rFonts w:ascii="Times New Roman" w:hAnsi="Times New Roman" w:eastAsia="Times New Roman"/>
          <w:b/>
          <w:color w:val="2A5D6C"/>
          <w:sz w:val="36"/>
        </w:rPr>
        <w:t>Vzdelávacie ciele workshopu</w:t>
      </w:r>
    </w:p>
    <w:p>
      <w:pPr>
        <w:pStyle w:val="ListBullet"/>
        <w:spacing w:before="0" w:after="40" w:line="252" w:lineRule="auto"/>
      </w:pPr>
      <w:r>
        <w:rPr>
          <w:rFonts w:ascii="Times New Roman" w:hAnsi="Times New Roman" w:eastAsia="Times New Roman"/>
          <w:b w:val="0"/>
          <w:i w:val="0"/>
          <w:sz w:val="21"/>
        </w:rPr>
        <w:t>Vysvetliť rozdiel medzi autentifikáciou, autorizáciou, identitou, reláciou a dôverou k zariadeniu.</w:t>
      </w:r>
    </w:p>
    <w:p>
      <w:pPr>
        <w:pStyle w:val="ListBullet"/>
        <w:spacing w:before="0" w:after="40" w:line="252" w:lineRule="auto"/>
      </w:pPr>
      <w:r>
        <w:rPr>
          <w:rFonts w:ascii="Times New Roman" w:hAnsi="Times New Roman" w:eastAsia="Times New Roman"/>
          <w:b w:val="0"/>
          <w:i w:val="0"/>
          <w:sz w:val="21"/>
        </w:rPr>
        <w:t>Porovnať najčastejšie formy 2FA/MFA: SMS, e-mail OTP, TOTP aplikácie, push notifikácie, number matching, hardvérové bezpečnostné kľúče, passkeys a biometrické odomknutie zariadenia.</w:t>
      </w:r>
    </w:p>
    <w:p>
      <w:pPr>
        <w:pStyle w:val="ListBullet"/>
        <w:spacing w:before="0" w:after="40" w:line="252" w:lineRule="auto"/>
      </w:pPr>
      <w:r>
        <w:rPr>
          <w:rFonts w:ascii="Times New Roman" w:hAnsi="Times New Roman" w:eastAsia="Times New Roman"/>
          <w:b w:val="0"/>
          <w:i w:val="0"/>
          <w:sz w:val="21"/>
        </w:rPr>
        <w:t>Ukázať, prečo niektoré MFA metódy zostávajú zraniteľné voči phishingu, sociálnemu inžinierstvu, únave používateľa a krádeži relácie.</w:t>
      </w:r>
    </w:p>
    <w:p>
      <w:pPr>
        <w:pStyle w:val="ListBullet"/>
        <w:spacing w:before="0" w:after="40" w:line="252" w:lineRule="auto"/>
      </w:pPr>
      <w:r>
        <w:rPr>
          <w:rFonts w:ascii="Times New Roman" w:hAnsi="Times New Roman" w:eastAsia="Times New Roman"/>
          <w:b w:val="0"/>
          <w:i w:val="0"/>
          <w:sz w:val="21"/>
        </w:rPr>
        <w:t>Naučiť účastníkov analyzovať modelové prihlasovacie udalosti a identifikovať signály kompromitácie účtu.</w:t>
      </w:r>
    </w:p>
    <w:p>
      <w:pPr>
        <w:pStyle w:val="ListBullet"/>
        <w:spacing w:before="0" w:after="40" w:line="252" w:lineRule="auto"/>
      </w:pPr>
      <w:r>
        <w:rPr>
          <w:rFonts w:ascii="Times New Roman" w:hAnsi="Times New Roman" w:eastAsia="Times New Roman"/>
          <w:b w:val="0"/>
          <w:i w:val="0"/>
          <w:sz w:val="21"/>
        </w:rPr>
        <w:t>Navrhnúť realistickú bezpečnostnú politiku MFA pre školské alebo univerzitné prostredie s ohľadom na použiteľnosť, cenu a riziko.</w:t>
      </w:r>
    </w:p>
    <w:p>
      <w:pPr>
        <w:pStyle w:val="ListBullet"/>
        <w:spacing w:before="0" w:after="40" w:line="252" w:lineRule="auto"/>
      </w:pPr>
      <w:r>
        <w:rPr>
          <w:rFonts w:ascii="Times New Roman" w:hAnsi="Times New Roman" w:eastAsia="Times New Roman"/>
          <w:b w:val="0"/>
          <w:i w:val="0"/>
          <w:sz w:val="21"/>
        </w:rPr>
        <w:t>Viesť účastníkov k zodpovednému a etickému správaniu pri práci s autentifikačnými mechanizmami.</w:t>
      </w:r>
    </w:p>
    <w:p>
      <w:pPr>
        <w:pStyle w:val="Heading1"/>
        <w:keepNext/>
        <w:spacing w:before="240" w:after="160"/>
      </w:pPr>
      <w:r>
        <w:rPr>
          <w:rFonts w:ascii="Times New Roman" w:hAnsi="Times New Roman" w:eastAsia="Times New Roman"/>
          <w:b/>
          <w:color w:val="2A5D6C"/>
          <w:sz w:val="36"/>
        </w:rPr>
        <w:t>Základná charakteristika workshopu</w:t>
      </w:r>
    </w:p>
    <w:tbl>
      <w:tblGrid>
        <w:gridCol w:w="2381"/>
        <w:gridCol w:w="6350"/>
      </w:tblGrid>
      <w:tblPr>
        <w:tblStyle w:val="TableGrid"/>
        <w:tblW w:type="dxa" w:w="8731"/>
        <w:jc w:val="center"/>
        <w:tblLayout w:type="fixed"/>
        <w:tblLook w:firstColumn="1" w:firstRow="1" w:lastColumn="0" w:lastRow="0" w:noHBand="0" w:noVBand="1" w:val="04A0"/>
      </w:tblP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Názov workshopu</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Dvojfaktorová autentifikácia: ste naozaj v bezpečí?</w:t>
            </w:r>
          </w:p>
        </w:tc>
      </w:t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Odporúčané trvanie</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3 až 4 hodiny. Skrátená popularizačná verzia môže mať 90 minút.</w:t>
            </w:r>
          </w:p>
        </w:tc>
      </w:t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Cieľová skupina</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Študenti stredných a vysokých škôl so základnou znalosťou webových aplikácií, bezpečnosti účtov a práce s internetovými službami.</w:t>
            </w:r>
          </w:p>
        </w:tc>
      </w:t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Predpoklady</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Základné pochopenie hesla, prihlasovania do webovej aplikácie a pojmov používateľský účet, e-mail, mobilná aplikácia a webový prehliadač.</w:t>
            </w:r>
          </w:p>
        </w:tc>
      </w:t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Forma</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Krátky výklad, riadená diskusia, tímová analýza, práca so syntetickými logmi, návrh obranných opatrení a záverečná reflexia.</w:t>
            </w:r>
          </w:p>
        </w:tc>
      </w:tr>
      <w:tr>
        <w:tc>
          <w:tcPr>
            <w:tcW w:type="dxa" w:w="2381"/>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8"/>
              </w:rPr>
              <w:t>Hlavný výstup</w:t>
            </w:r>
          </w:p>
        </w:tc>
        <w:tc>
          <w:tcPr>
            <w:tcW w:type="dxa" w:w="635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8"/>
              </w:rPr>
              <w:t>Tímový návrh bezpečnej MFA politiky a používateľských odporúčaní pre školské alebo univerzitné prostredie.</w:t>
            </w:r>
          </w:p>
        </w:tc>
      </w:tr>
    </w:tbl>
    <w:p>
      <w:pPr>
        <w:spacing w:after="40"/>
      </w:pPr>
    </w:p>
    <w:p>
      <w:pPr>
        <w:pStyle w:val="Heading1"/>
        <w:keepNext/>
        <w:spacing w:before="240" w:after="160"/>
      </w:pPr>
      <w:r>
        <w:rPr>
          <w:rFonts w:ascii="Times New Roman" w:hAnsi="Times New Roman" w:eastAsia="Times New Roman"/>
          <w:b/>
          <w:color w:val="2A5D6C"/>
          <w:sz w:val="36"/>
        </w:rPr>
        <w:t>Odborné východiská</w:t>
      </w:r>
    </w:p>
    <w:p>
      <w:pPr>
        <w:spacing w:before="0" w:after="120" w:line="259" w:lineRule="auto"/>
      </w:pPr>
      <w:r>
        <w:rPr>
          <w:rFonts w:ascii="Times New Roman" w:hAnsi="Times New Roman" w:eastAsia="Times New Roman"/>
          <w:b w:val="0"/>
          <w:i w:val="0"/>
          <w:sz w:val="22"/>
        </w:rPr>
        <w:t>Workshop vychádza z odporúčaní CISA k phishing-resistant MFA, OWASP Multifactor Authentication Cheat Sheet, OWASP Web Security Testing Guide a NIST Digital Identity Guidelines. Tieto zdroje sa zhodujú v tom, že MFA je dôležité bezpečnostné opatrenie, ale jednotlivé autentifikačné metódy majú rozdielnu odolnosť voči phishingu a zneužitiu relácie.</w:t>
      </w:r>
    </w:p>
    <w:tbl>
      <w:tblGrid>
        <w:gridCol w:w="2268"/>
        <w:gridCol w:w="3458"/>
        <w:gridCol w:w="3005"/>
      </w:tblGrid>
      <w:tblPr>
        <w:tblStyle w:val="TableGrid"/>
        <w:tblW w:type="dxa" w:w="8731"/>
        <w:jc w:val="center"/>
        <w:tblLayout w:type="fixed"/>
        <w:tblLook w:firstColumn="1" w:firstRow="1" w:lastColumn="0" w:lastRow="0" w:noHBand="0" w:noVBand="1" w:val="04A0"/>
      </w:tblPr>
      <w:tr>
        <w:trPr>
          <w:cantSplit/>
        </w:trPr>
        <w:tc>
          <w:tcPr>
            <w:tcW w:type="dxa" w:w="226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Zdroj</w:t>
            </w:r>
          </w:p>
        </w:tc>
        <w:tc>
          <w:tcPr>
            <w:tcW w:type="dxa" w:w="345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Myšlienka využiteľná vo workshope</w:t>
            </w:r>
          </w:p>
        </w:tc>
        <w:tc>
          <w:tcPr>
            <w:tcW w:type="dxa" w:w="300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Dopad na obsah</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CISA: Implementing Phishing-Resistant MFA</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Nie všetky MFA metódy sú rovnako odolné a pri citlivých účtoch treba preferovať phishing-resistant MFA.</w:t>
            </w:r>
          </w:p>
        </w:tc>
        <w:tc>
          <w:tcPr>
            <w:tcW w:type="dxa" w:w="300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Blok o FIDO2/WebAuthn, passkeys a rizikách SMS/TOTP/push metód.</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OWASP MFA Cheat Sheet</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MFA má byť súčasťou bezpečnej autentifikácie, ale treba riešiť aj reset faktorov, recovery kódy a používateľskú skúsenosť.</w:t>
            </w:r>
          </w:p>
        </w:tc>
        <w:tc>
          <w:tcPr>
            <w:tcW w:type="dxa" w:w="300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Blok o procese obnovy účtu a helpdesku.</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OWASP WSTG - Testing MFA</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Bezpečnostné testovanie má overovať, či MFA nejde obísť cez chybné workflow alebo alternatívnu cestu.</w:t>
            </w:r>
          </w:p>
        </w:tc>
        <w:tc>
          <w:tcPr>
            <w:tcW w:type="dxa" w:w="300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Blok o kontrolných otázkach a bezpečnostnom checkliste.</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NIST SP 800-63B</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Autentifikácia sa posudzuje podľa úrovne istoty a vlastností autentifikátorov.</w:t>
            </w:r>
          </w:p>
        </w:tc>
        <w:tc>
          <w:tcPr>
            <w:tcW w:type="dxa" w:w="300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Blok o silnejších a slabších faktoroch a o politike pre citlivé účty.</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Microsoft Digital Defense Report 2024</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Identitné útoky, token theft, AiTM a MFA fatigue patria medzi relevantné praktické riziká moderného prostredia.</w:t>
            </w:r>
          </w:p>
        </w:tc>
        <w:tc>
          <w:tcPr>
            <w:tcW w:type="dxa" w:w="300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Modelové scenáre a analýza logov.</w:t>
            </w:r>
          </w:p>
        </w:tc>
      </w:tr>
    </w:tbl>
    <w:p>
      <w:pPr>
        <w:spacing w:after="40"/>
      </w:pPr>
    </w:p>
    <w:p>
      <w:pPr>
        <w:pStyle w:val="Heading1"/>
        <w:keepNext/>
        <w:spacing w:before="240" w:after="160"/>
      </w:pPr>
      <w:r>
        <w:rPr>
          <w:rFonts w:ascii="Times New Roman" w:hAnsi="Times New Roman" w:eastAsia="Times New Roman"/>
          <w:b/>
          <w:color w:val="2A5D6C"/>
          <w:sz w:val="36"/>
        </w:rPr>
        <w:t>Teoretický rámec workshopu</w:t>
      </w:r>
    </w:p>
    <w:p>
      <w:pPr>
        <w:pStyle w:val="Heading2"/>
        <w:keepNext/>
        <w:spacing w:before="200" w:after="120"/>
      </w:pPr>
      <w:r>
        <w:rPr>
          <w:rFonts w:ascii="Times New Roman" w:hAnsi="Times New Roman" w:eastAsia="Times New Roman"/>
          <w:b w:val="0"/>
          <w:color w:val="2A5D6C"/>
          <w:sz w:val="30"/>
        </w:rPr>
        <w:t>1. Čo je 2FA a MFA</w:t>
      </w:r>
    </w:p>
    <w:p>
      <w:pPr>
        <w:spacing w:before="0" w:after="120" w:line="259" w:lineRule="auto"/>
      </w:pPr>
      <w:r>
        <w:rPr>
          <w:rFonts w:ascii="Times New Roman" w:hAnsi="Times New Roman" w:eastAsia="Times New Roman"/>
          <w:b w:val="0"/>
          <w:i w:val="0"/>
          <w:sz w:val="22"/>
        </w:rPr>
        <w:t>Dvojfaktorová autentifikácia znamená, že používateľ okrem hesla preukazuje ešte druhý faktor. Viacfaktorová autentifikácia je všeobecnejší pojem a môže kombinovať viacero kategórií faktorov: niečo, čo používateľ vie, niečo, čo vlastní, a niečo, čím používateľ je.</w:t>
      </w:r>
    </w:p>
    <w:tbl>
      <w:tblGrid>
        <w:gridCol w:w="1814"/>
        <w:gridCol w:w="3175"/>
        <w:gridCol w:w="3742"/>
      </w:tblGrid>
      <w:tblPr>
        <w:tblStyle w:val="TableGrid"/>
        <w:tblW w:type="dxa" w:w="8731"/>
        <w:jc w:val="center"/>
        <w:tblLayout w:type="fixed"/>
        <w:tblLook w:firstColumn="1" w:firstRow="1" w:lastColumn="0" w:lastRow="0" w:noHBand="0" w:noVBand="1" w:val="04A0"/>
      </w:tblPr>
      <w:tr>
        <w:trPr>
          <w:cantSplit/>
        </w:trPr>
        <w:tc>
          <w:tcPr>
            <w:tcW w:type="dxa" w:w="1814"/>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Typ faktora</w:t>
            </w:r>
          </w:p>
        </w:tc>
        <w:tc>
          <w:tcPr>
            <w:tcW w:type="dxa" w:w="317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Príklad</w:t>
            </w:r>
          </w:p>
        </w:tc>
        <w:tc>
          <w:tcPr>
            <w:tcW w:type="dxa" w:w="3742"/>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Riziko pri nesprávnom použití</w:t>
            </w:r>
          </w:p>
        </w:tc>
      </w:tr>
      <w:tr>
        <w:trPr>
          <w:cantSplit/>
        </w:trPr>
        <w:tc>
          <w:tcPr>
            <w:tcW w:type="dxa" w:w="181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Znalosť</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Heslo, PIN, odpoveď na bezpečnostnú otázku.</w:t>
            </w:r>
          </w:p>
        </w:tc>
        <w:tc>
          <w:tcPr>
            <w:tcW w:type="dxa" w:w="374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Môže byť uhádnuté, uniknuté, opakovane použité alebo vylákané phishingom.</w:t>
            </w:r>
          </w:p>
        </w:tc>
      </w:tr>
      <w:tr>
        <w:trPr>
          <w:cantSplit/>
        </w:trPr>
        <w:tc>
          <w:tcPr>
            <w:tcW w:type="dxa" w:w="181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Vlastníctvo</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Telefón, autentifikačná aplikácia, bezpečnostný kľúč, passkey v zariadení.</w:t>
            </w:r>
          </w:p>
        </w:tc>
        <w:tc>
          <w:tcPr>
            <w:tcW w:type="dxa" w:w="374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Môže byť stratené, ukradnuté alebo zneužité cez slabý proces obnovy.</w:t>
            </w:r>
          </w:p>
        </w:tc>
      </w:tr>
      <w:tr>
        <w:trPr>
          <w:cantSplit/>
        </w:trPr>
        <w:tc>
          <w:tcPr>
            <w:tcW w:type="dxa" w:w="181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Inherencia</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Biometria používaná na odomknutie zariadenia.</w:t>
            </w:r>
          </w:p>
        </w:tc>
        <w:tc>
          <w:tcPr>
            <w:tcW w:type="dxa" w:w="374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Biometria často neputuje do služby, ale odomyká lokálny autentifikátor; treba chrániť zariadenie.</w:t>
            </w:r>
          </w:p>
        </w:tc>
      </w:tr>
      <w:tr>
        <w:trPr>
          <w:cantSplit/>
        </w:trPr>
        <w:tc>
          <w:tcPr>
            <w:tcW w:type="dxa" w:w="181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Kontext</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Zariadenie, lokalita, sieť, rizikové skóre.</w:t>
            </w:r>
          </w:p>
        </w:tc>
        <w:tc>
          <w:tcPr>
            <w:tcW w:type="dxa" w:w="374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Nemá byť jediným faktorom, ale pomáha pri adaptívnej ochrane a detekcii anomálií.</w:t>
            </w:r>
          </w:p>
        </w:tc>
      </w:tr>
    </w:tbl>
    <w:p>
      <w:pPr>
        <w:spacing w:after="40"/>
      </w:pPr>
    </w:p>
    <w:p>
      <w:pPr>
        <w:pStyle w:val="Heading2"/>
        <w:keepNext/>
        <w:spacing w:before="200" w:after="120"/>
      </w:pPr>
      <w:r>
        <w:rPr>
          <w:rFonts w:ascii="Times New Roman" w:hAnsi="Times New Roman" w:eastAsia="Times New Roman"/>
          <w:b w:val="0"/>
          <w:color w:val="2A5D6C"/>
          <w:sz w:val="30"/>
        </w:rPr>
        <w:t>2. Prečo zapnutá 2FA nemusí stačiť</w:t>
      </w:r>
    </w:p>
    <w:p>
      <w:pPr>
        <w:spacing w:before="0" w:after="120" w:line="259" w:lineRule="auto"/>
      </w:pPr>
      <w:r>
        <w:rPr>
          <w:rFonts w:ascii="Times New Roman" w:hAnsi="Times New Roman" w:eastAsia="Times New Roman"/>
          <w:b w:val="0"/>
          <w:i w:val="0"/>
          <w:sz w:val="22"/>
        </w:rPr>
        <w:t>Mnohé útoky neprelamujú kryptografiu samotného autentifikátora. Útočia na človeka, proces obnovy účtu, alternatívnu prihlasovaciu cestu alebo už vytvorenú reláciu. Preto je dôležité odlišovať pojem „mám 2FA“ od otázky „aký typ 2FA používam a aké fallbacky sú povolené“.</w:t>
      </w:r>
    </w:p>
    <w:tbl>
      <w:tblGrid>
        <w:gridCol w:w="1871"/>
        <w:gridCol w:w="3402"/>
        <w:gridCol w:w="3458"/>
      </w:tblGrid>
      <w:tblPr>
        <w:tblStyle w:val="TableGrid"/>
        <w:tblW w:type="dxa" w:w="8731"/>
        <w:jc w:val="center"/>
        <w:tblLayout w:type="fixed"/>
        <w:tblLook w:firstColumn="1" w:firstRow="1" w:lastColumn="0" w:lastRow="0" w:noHBand="0" w:noVBand="1" w:val="04A0"/>
      </w:tblPr>
      <w:tr>
        <w:trPr>
          <w:cantSplit/>
        </w:trPr>
        <w:tc>
          <w:tcPr>
            <w:tcW w:type="dxa" w:w="187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Riziko</w:t>
            </w:r>
          </w:p>
        </w:tc>
        <w:tc>
          <w:tcPr>
            <w:tcW w:type="dxa" w:w="3402"/>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Typický príklad</w:t>
            </w:r>
          </w:p>
        </w:tc>
        <w:tc>
          <w:tcPr>
            <w:tcW w:type="dxa" w:w="345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Obrana</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Phishing OTP kódu</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Používateľ zadá heslo aj jednorazový kód do falošnej stránky.</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FIDO2/WebAuthn, passkeys, kontrola domény, školenie a technická ochrana URL.</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MFA fatigue</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Útočník opakovane vyvoláva push notifikácie a čaká, kým používateľ jednu schváli.</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Number matching, kontext prihlásenia, limity výziev, nahlasovanie podozrivých pokusov.</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SIM swap</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Útočník získa kontrolu nad telefónnym číslom a SMS kódmi.</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Nepoužívať SMS pre citlivé účty, preferovať TOTP alebo FIDO2/passkeys.</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Slabý recovery proces</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Helpdesk alebo samoobsluha umožní reset MFA bez dostatočného overenia identity.</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Viackanálové overenie, schvaľovanie, logovanie, časové oneskorenie pri rizikových zmenách.</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Krádež relácie</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Útočník používa token alebo cookie po tom, čo sa používateľ legitímne prihlásil.</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Krátka životnosť tokenov, revokácia relácií, kontrola zariadenia, detekcia nezvyčajného správania.</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Slabý fallback</w:t>
            </w:r>
          </w:p>
        </w:tc>
        <w:tc>
          <w:tcPr>
            <w:tcW w:type="dxa" w:w="340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Služba ponúkne slabšiu metódu, keď silnejšia nie je dostupná.</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Zakázať slabé alternatívy pre privilegované účty a monitorovať prepnutie na fallback.</w:t>
            </w:r>
          </w:p>
        </w:tc>
      </w:tr>
    </w:tbl>
    <w:p>
      <w:pPr>
        <w:spacing w:after="40"/>
      </w:pPr>
    </w:p>
    <w:p>
      <w:r>
        <w:br w:type="page"/>
      </w:r>
    </w:p>
    <w:p>
      <w:pPr>
        <w:pStyle w:val="Heading1"/>
        <w:keepNext/>
        <w:spacing w:before="240" w:after="160"/>
      </w:pPr>
      <w:r>
        <w:rPr>
          <w:rFonts w:ascii="Times New Roman" w:hAnsi="Times New Roman" w:eastAsia="Times New Roman"/>
          <w:b/>
          <w:color w:val="2A5D6C"/>
          <w:sz w:val="36"/>
        </w:rPr>
        <w:t>Porovnanie autentifikačných metód</w:t>
      </w:r>
    </w:p>
    <w:tbl>
      <w:tblGrid>
        <w:gridCol w:w="1701"/>
        <w:gridCol w:w="2268"/>
        <w:gridCol w:w="3061"/>
        <w:gridCol w:w="1701"/>
      </w:tblGrid>
      <w:tblPr>
        <w:tblStyle w:val="TableGrid"/>
        <w:tblW w:type="dxa" w:w="8731"/>
        <w:jc w:val="center"/>
        <w:tblLayout w:type="fixed"/>
        <w:tblLook w:firstColumn="1" w:firstRow="1" w:lastColumn="0" w:lastRow="0" w:noHBand="0" w:noVBand="1" w:val="04A0"/>
      </w:tblPr>
      <w:tr>
        <w:trPr>
          <w:cantSplit/>
        </w:trPr>
        <w:tc>
          <w:tcPr>
            <w:tcW w:type="dxa" w:w="170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Metóda</w:t>
            </w:r>
          </w:p>
        </w:tc>
        <w:tc>
          <w:tcPr>
            <w:tcW w:type="dxa" w:w="226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Výhody</w:t>
            </w:r>
          </w:p>
        </w:tc>
        <w:tc>
          <w:tcPr>
            <w:tcW w:type="dxa" w:w="306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Slabiny</w:t>
            </w:r>
          </w:p>
        </w:tc>
        <w:tc>
          <w:tcPr>
            <w:tcW w:type="dxa" w:w="170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Odporúčanie</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SMS OTP</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Jednoduché nasadenie a známe používateľom.</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SIM swap, phishing kódu, závislosť od operátora, nízka odolnosť pri citlivých účtoch.</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Použiť len ako dočasný alebo menej preferovaný faktor.</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E-mail OTP</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Bez potreby ďalšej aplikácie.</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Ak je e-mail kompromitovaný, útočník často získava aj druhý faktor.</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Nevhodné ako jediný druhý faktor pre citlivé účty.</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TOTP aplikácia</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Lepšie ako SMS, nezávislé od mobilnej siete.</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Kód je stále možné vylákať cez phishing v reálnom čase.</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Dobrá základná voľba, ale nie plne phishing-resistant.</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Push notifikácia</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Pohodlné, rýchle, dobrá používateľská skúsenosť.</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Riziko MFA fatigue a nepozorného schválenia.</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Použiť number matching, kontext a limity výziev.</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FIDO2/WebAuthn</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Väzba na origin, vysoká odolnosť proti phishingu, nepoužíva zdieľané OTP kódy.</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Vyžaduje podporu služby, zariadenia a dobre nastavený recovery proces.</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Preferovaná metóda pre administrátorov a citlivé systémy.</w:t>
            </w:r>
          </w:p>
        </w:tc>
      </w:tr>
      <w:tr>
        <w:trPr>
          <w:cantSplit/>
        </w:trPr>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Passkeys</w:t>
            </w:r>
          </w:p>
        </w:tc>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Používateľsky prívetivá forma FIDO autentifikácie, často dostupná v moderných zariadeniach.</w:t>
            </w:r>
          </w:p>
        </w:tc>
        <w:tc>
          <w:tcPr>
            <w:tcW w:type="dxa" w:w="306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Treba pochopiť synchronizáciu, správu zariadení a obnovu pri strate zariadenia.</w:t>
            </w:r>
          </w:p>
        </w:tc>
        <w:tc>
          <w:tcPr>
            <w:tcW w:type="dxa" w:w="170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Cieľový stav pre veľkú časť bežných používateľov.</w:t>
            </w:r>
          </w:p>
        </w:tc>
      </w:tr>
    </w:tbl>
    <w:p>
      <w:pPr>
        <w:spacing w:after="40"/>
      </w:pPr>
    </w:p>
    <w:p>
      <w:pPr>
        <w:pStyle w:val="Heading1"/>
        <w:keepNext/>
        <w:spacing w:before="240" w:after="160"/>
      </w:pPr>
      <w:r>
        <w:rPr>
          <w:rFonts w:ascii="Times New Roman" w:hAnsi="Times New Roman" w:eastAsia="Times New Roman"/>
          <w:b/>
          <w:color w:val="2A5D6C"/>
          <w:sz w:val="36"/>
        </w:rPr>
        <w:t>Navrhovaná štruktúra 4-hodinového workshopu</w:t>
      </w:r>
    </w:p>
    <w:tbl>
      <w:tblGrid>
        <w:gridCol w:w="1247"/>
        <w:gridCol w:w="1871"/>
        <w:gridCol w:w="3685"/>
        <w:gridCol w:w="1927"/>
      </w:tblGrid>
      <w:tblPr>
        <w:tblStyle w:val="TableGrid"/>
        <w:tblW w:type="dxa" w:w="8730"/>
        <w:jc w:val="center"/>
        <w:tblLayout w:type="fixed"/>
        <w:tblLook w:firstColumn="1" w:firstRow="1" w:lastColumn="0" w:lastRow="0" w:noHBand="0" w:noVBand="1" w:val="04A0"/>
      </w:tblPr>
      <w:tr>
        <w:trPr>
          <w:cantSplit/>
        </w:trPr>
        <w:tc>
          <w:tcPr>
            <w:tcW w:type="dxa" w:w="1247"/>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Čas</w:t>
            </w:r>
          </w:p>
        </w:tc>
        <w:tc>
          <w:tcPr>
            <w:tcW w:type="dxa" w:w="187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Blok</w:t>
            </w:r>
          </w:p>
        </w:tc>
        <w:tc>
          <w:tcPr>
            <w:tcW w:type="dxa" w:w="368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Obsah</w:t>
            </w:r>
          </w:p>
        </w:tc>
        <w:tc>
          <w:tcPr>
            <w:tcW w:type="dxa" w:w="1927"/>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Výstup</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0:00-0:15</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Úvod a pravidlá</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Ciele, etické hranice, rozdiel medzi útokom a obrannou analýzou.</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Spoločné pravidlá práce.</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0:15-0:45</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Mýty o 2FA</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Čo si používatelia myslia o 2FA a čo platí v praxi.</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Zoznam mýtov a realít.</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0:45-1:20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Ako funguje prihlásenie</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Heslo, druhý faktor, relácia, token, zariadenie, obnova účtu.</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Schéma autentifikačného toku.</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1:20-1:50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Typy MFA</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SMS, TOTP, push, FIDO2, WebAuthn, passkeys.</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Porovnávacia tabuľka metód.</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1:50-2:00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Prestávka</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Krátka prestávka.</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2:00-2:40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Modelové scenáre zlyhania</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Phishing, MFA fatigue, SIM swap, session theft, slabý fallback.</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Riziková mapa scenárov.</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2:40-3:20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Analýza syntetických logov</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Tímy hľadajú podozrivé prihlásenia a zmeny MFA.</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Zoznam indikátorov kompromitácie.</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3:20-3:50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Návrh obrany</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Tímy navrhnú MFA politiku pre školské prostredie.</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Prioritizovaný obranný plán.</w:t>
            </w:r>
          </w:p>
        </w:tc>
      </w:tr>
      <w:tr>
        <w:trPr>
          <w:cantSplit/>
        </w:trPr>
        <w:tc>
          <w:tcPr>
            <w:tcW w:type="dxa" w:w="124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3:50-4:00</w:t>
            </w:r>
          </w:p>
        </w:tc>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Záver</w:t>
            </w:r>
          </w:p>
        </w:tc>
        <w:tc>
          <w:tcPr>
            <w:tcW w:type="dxa" w:w="368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Reflexia, kvíz, odporúčané kroky po workshope.</w:t>
            </w:r>
          </w:p>
        </w:tc>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Záverečný checklist.</w:t>
            </w:r>
          </w:p>
        </w:tc>
      </w:tr>
    </w:tbl>
    <w:p>
      <w:pPr>
        <w:spacing w:after="40"/>
      </w:pPr>
    </w:p>
    <w:p>
      <w:pPr>
        <w:pStyle w:val="Heading1"/>
        <w:keepNext/>
        <w:spacing w:before="240" w:after="160"/>
      </w:pPr>
      <w:r>
        <w:rPr>
          <w:rFonts w:ascii="Times New Roman" w:hAnsi="Times New Roman" w:eastAsia="Times New Roman"/>
          <w:b/>
          <w:color w:val="2A5D6C"/>
          <w:sz w:val="36"/>
        </w:rPr>
        <w:t>Moduly workshopu</w:t>
      </w:r>
    </w:p>
    <w:p>
      <w:pPr>
        <w:pStyle w:val="Heading2"/>
        <w:keepNext/>
        <w:spacing w:before="200" w:after="120"/>
      </w:pPr>
      <w:r>
        <w:rPr>
          <w:rFonts w:ascii="Times New Roman" w:hAnsi="Times New Roman" w:eastAsia="Times New Roman"/>
          <w:b w:val="0"/>
          <w:color w:val="2A5D6C"/>
          <w:sz w:val="30"/>
        </w:rPr>
        <w:t>Modul 1: Mýty a realita dvojfaktorovej autentifikácie</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Otvorenie témy a zistenie predchádzajúcich predstáv účastníkov.</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Diskusia o tvrdeniach typu „keď mám 2FA, nikto sa mi do účtu nedostane“, „SMS kód je rovnako bezpečný ako bezpečnostný kľúč“ alebo „problém je vždy len slabé heslo“.</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Lektor rozdá kartičky s tvrdeniami. Tímy ich triedia na kategórie: pravda, čiastočná pravda, mýtus.</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Spoločný zoznam mýtov a korektných bezpečnostných vysvetlení.</w:t>
            </w:r>
          </w:p>
        </w:tc>
      </w:tr>
    </w:tbl>
    <w:p>
      <w:pPr>
        <w:spacing w:after="40"/>
      </w:pPr>
    </w:p>
    <w:p>
      <w:pPr>
        <w:pStyle w:val="Heading2"/>
        <w:keepNext/>
        <w:spacing w:before="200" w:after="120"/>
      </w:pPr>
      <w:r>
        <w:rPr>
          <w:rFonts w:ascii="Times New Roman" w:hAnsi="Times New Roman" w:eastAsia="Times New Roman"/>
          <w:b w:val="0"/>
          <w:color w:val="2A5D6C"/>
          <w:sz w:val="30"/>
        </w:rPr>
        <w:t>Modul 2: Ako vzniká dôvera pri prihlásení</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Vysvetliť, že po úspešnom prihlásení často vzniká session alebo token, ktorý má vlastné bezpečnostné riziká.</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Tok používateľ - prehliadač - aplikácia - identity provider - session cookie/token - obnovovanie relácie.</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Účastníci zakreslia autentifikačný tok a označia body, kde môže dôjsť k zlyhaniu alebo kompromitácii.</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Diagram autentifikačného procesu s označenými kontrolnými bodmi.</w:t>
            </w:r>
          </w:p>
        </w:tc>
      </w:tr>
    </w:tbl>
    <w:p>
      <w:pPr>
        <w:spacing w:after="40"/>
      </w:pPr>
    </w:p>
    <w:p>
      <w:pPr>
        <w:pStyle w:val="Heading2"/>
        <w:keepNext/>
        <w:spacing w:before="200" w:after="120"/>
      </w:pPr>
      <w:r>
        <w:rPr>
          <w:rFonts w:ascii="Times New Roman" w:hAnsi="Times New Roman" w:eastAsia="Times New Roman"/>
          <w:b w:val="0"/>
          <w:color w:val="2A5D6C"/>
          <w:sz w:val="30"/>
        </w:rPr>
        <w:t>Modul 3: Typy MFA a ich odolnosť</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Naučiť účastníkov hodnotiť MFA metódy podľa odolnosti, použiteľnosti a ceny.</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SMS, e-mail OTP, TOTP, push, number matching, FIDO2/WebAuthn, passkeys a hardvérové kľúče.</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Tímy zoradia metódy od najslabšej po najsilnejšiu a obhája kompromisy.</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Porovnávacia matica: bezpečnosť, použiteľnosť, náklady, vhodnosť pre školu.</w:t>
            </w:r>
          </w:p>
        </w:tc>
      </w:tr>
    </w:tbl>
    <w:p>
      <w:pPr>
        <w:spacing w:after="40"/>
      </w:pPr>
    </w:p>
    <w:p>
      <w:pPr>
        <w:pStyle w:val="Heading2"/>
        <w:keepNext/>
        <w:spacing w:before="200" w:after="120"/>
      </w:pPr>
      <w:r>
        <w:rPr>
          <w:rFonts w:ascii="Times New Roman" w:hAnsi="Times New Roman" w:eastAsia="Times New Roman"/>
          <w:b w:val="0"/>
          <w:color w:val="2A5D6C"/>
          <w:sz w:val="30"/>
        </w:rPr>
        <w:t>Modul 4: Modelové scenáre zlyhania 2FA</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Ukázať, že väčšina zlyhaní vzniká cez človeka, proces, reláciu alebo fallback, nie cez prelomenie kryptografie.</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Phishing OTP, MFA fatigue, SIM swap, recovery abuse, token theft, OAuth consent phishing a slabé alternatívne metódy.</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Účastníci dostanú kartičky so scenármi a ku každému navrhnú obranné opatrenie.</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Tabuľka scenár - indikátor - obranné opatrenie.</w:t>
            </w:r>
          </w:p>
        </w:tc>
      </w:tr>
    </w:tbl>
    <w:p>
      <w:pPr>
        <w:spacing w:after="40"/>
      </w:pPr>
    </w:p>
    <w:p>
      <w:pPr>
        <w:pStyle w:val="Heading2"/>
        <w:keepNext/>
        <w:spacing w:before="200" w:after="120"/>
      </w:pPr>
      <w:r>
        <w:rPr>
          <w:rFonts w:ascii="Times New Roman" w:hAnsi="Times New Roman" w:eastAsia="Times New Roman"/>
          <w:b w:val="0"/>
          <w:color w:val="2A5D6C"/>
          <w:sz w:val="30"/>
        </w:rPr>
        <w:t>Modul 5: Analýza syntetických logov</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Precvičiť bezpečnostné myslenie bez použitia reálnych útokov alebo reálnych dát.</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Modelové logy obsahujú používateľa, čas, IP adresu, krajinu, typ MFA, stav prihlásenia, zariadenie, zmenu MFA a vytvorenie relácie.</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Tímy vyhľadávajú podozrivé udalosti a zapisujú, prečo sú rizikové.</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Zoznam incidentných indikátorov a návrh ďalšieho postupu.</w:t>
            </w:r>
          </w:p>
        </w:tc>
      </w:tr>
    </w:tbl>
    <w:p>
      <w:pPr>
        <w:spacing w:after="40"/>
      </w:pPr>
    </w:p>
    <w:p>
      <w:pPr>
        <w:pStyle w:val="Heading2"/>
        <w:keepNext/>
        <w:spacing w:before="200" w:after="120"/>
      </w:pPr>
      <w:r>
        <w:rPr>
          <w:rFonts w:ascii="Times New Roman" w:hAnsi="Times New Roman" w:eastAsia="Times New Roman"/>
          <w:b w:val="0"/>
          <w:color w:val="2A5D6C"/>
          <w:sz w:val="30"/>
        </w:rPr>
        <w:t>Modul 6: Návrh bezpečnej MFA politiky</w:t>
      </w:r>
    </w:p>
    <w:tbl>
      <w:tblGrid>
        <w:gridCol w:w="2097"/>
        <w:gridCol w:w="6633"/>
      </w:tblGrid>
      <w:tblPr>
        <w:tblStyle w:val="TableGrid"/>
        <w:tblW w:type="dxa" w:w="8730"/>
        <w:jc w:val="center"/>
        <w:tblLayout w:type="fixed"/>
        <w:tblLook w:firstColumn="1" w:firstRow="1" w:lastColumn="0" w:lastRow="0" w:noHBand="0" w:noVBand="1" w:val="04A0"/>
      </w:tblP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Cieľ modulu</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Premeniť poznatky na praktický návrh pre školu, univerzitu alebo študentský projekt.</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Obsah</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Rozdelenie účtov podľa rizika, preferované MFA metódy, recovery proces, pravidlá pre administrátorov, školenie používateľov a monitoring.</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Aktivita</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Tímy pripravia krátky návrh politiky a predstavia ho ostatným.</w:t>
            </w:r>
          </w:p>
        </w:tc>
      </w:tr>
      <w:tr>
        <w:tc>
          <w:tcPr>
            <w:tcW w:type="dxa" w:w="2097"/>
            <w:shd w:fill="EAF3F6"/>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color w:val="2A5D6C"/>
                <w:sz w:val="17"/>
              </w:rPr>
              <w:t>Výstup</w:t>
            </w:r>
          </w:p>
        </w:tc>
        <w:tc>
          <w:tcPr>
            <w:tcW w:type="dxa" w:w="663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Prioritizovaný plán: čo zaviesť ihneď, čo neskôr a čo je nevhodné ponechať.</w:t>
            </w:r>
          </w:p>
        </w:tc>
      </w:tr>
    </w:tbl>
    <w:p>
      <w:pPr>
        <w:spacing w:after="40"/>
      </w:pPr>
    </w:p>
    <w:p>
      <w:r>
        <w:br w:type="page"/>
      </w:r>
    </w:p>
    <w:p>
      <w:pPr>
        <w:pStyle w:val="Heading1"/>
        <w:keepNext/>
        <w:spacing w:before="240" w:after="160"/>
      </w:pPr>
      <w:r>
        <w:rPr>
          <w:rFonts w:ascii="Times New Roman" w:hAnsi="Times New Roman" w:eastAsia="Times New Roman"/>
          <w:b/>
          <w:color w:val="2A5D6C"/>
          <w:sz w:val="36"/>
        </w:rPr>
        <w:t>Praktické úlohy pre účastníkov</w:t>
      </w:r>
    </w:p>
    <w:p>
      <w:pPr>
        <w:pStyle w:val="Heading2"/>
        <w:keepNext/>
        <w:spacing w:before="200" w:after="120"/>
      </w:pPr>
      <w:r>
        <w:rPr>
          <w:rFonts w:ascii="Times New Roman" w:hAnsi="Times New Roman" w:eastAsia="Times New Roman"/>
          <w:b w:val="0"/>
          <w:color w:val="2A5D6C"/>
          <w:sz w:val="30"/>
        </w:rPr>
        <w:t>Úloha 1: Mapa prihlasovania</w:t>
      </w:r>
    </w:p>
    <w:p>
      <w:pPr>
        <w:spacing w:before="0" w:after="120" w:line="259" w:lineRule="auto"/>
      </w:pPr>
      <w:r>
        <w:rPr>
          <w:rFonts w:ascii="Times New Roman" w:hAnsi="Times New Roman" w:eastAsia="Times New Roman"/>
          <w:b w:val="0"/>
          <w:i w:val="0"/>
          <w:sz w:val="22"/>
        </w:rPr>
        <w:t>Nakreslite jednoduchý proces prihlásenia do webovej aplikácie: používateľ zadá heslo, overí druhý faktor, aplikácia vytvorí reláciu. Označte, kde vznikajú citlivé údaje a kde je možné reláciu zrušiť.</w:t>
      </w:r>
    </w:p>
    <w:p>
      <w:pPr>
        <w:spacing w:before="0" w:after="120" w:line="259" w:lineRule="auto"/>
      </w:pPr>
      <w:r>
        <w:rPr>
          <w:rFonts w:ascii="Times New Roman" w:hAnsi="Times New Roman" w:eastAsia="Times New Roman"/>
          <w:b/>
          <w:i w:val="0"/>
          <w:sz w:val="22"/>
        </w:rPr>
        <w:t>Výstup:</w:t>
      </w:r>
      <w:r>
        <w:rPr>
          <w:rFonts w:ascii="Times New Roman" w:hAnsi="Times New Roman" w:eastAsia="Times New Roman"/>
          <w:b w:val="0"/>
          <w:i w:val="0"/>
          <w:sz w:val="22"/>
        </w:rPr>
        <w:t xml:space="preserve"> Schéma prihlasovacieho procesu.</w:t>
      </w:r>
    </w:p>
    <w:p>
      <w:pPr>
        <w:pStyle w:val="Heading2"/>
        <w:keepNext/>
        <w:spacing w:before="200" w:after="120"/>
      </w:pPr>
      <w:r>
        <w:rPr>
          <w:rFonts w:ascii="Times New Roman" w:hAnsi="Times New Roman" w:eastAsia="Times New Roman"/>
          <w:b w:val="0"/>
          <w:color w:val="2A5D6C"/>
          <w:sz w:val="30"/>
        </w:rPr>
        <w:t>Úloha 2: Ktorá MFA metóda je vhodná?</w:t>
      </w:r>
    </w:p>
    <w:p>
      <w:pPr>
        <w:spacing w:before="0" w:after="120" w:line="259" w:lineRule="auto"/>
      </w:pPr>
      <w:r>
        <w:rPr>
          <w:rFonts w:ascii="Times New Roman" w:hAnsi="Times New Roman" w:eastAsia="Times New Roman"/>
          <w:b w:val="0"/>
          <w:i w:val="0"/>
          <w:sz w:val="22"/>
        </w:rPr>
        <w:t>Pre rôzne typy účtov vyberte vhodnú MFA metódu: bežný študent, učiteľ, administrátor, účtovník, správca cloudového prostredia.</w:t>
      </w:r>
    </w:p>
    <w:p>
      <w:pPr>
        <w:spacing w:before="0" w:after="120" w:line="259" w:lineRule="auto"/>
      </w:pPr>
      <w:r>
        <w:rPr>
          <w:rFonts w:ascii="Times New Roman" w:hAnsi="Times New Roman" w:eastAsia="Times New Roman"/>
          <w:b/>
          <w:i w:val="0"/>
          <w:sz w:val="22"/>
        </w:rPr>
        <w:t>Výstup:</w:t>
      </w:r>
      <w:r>
        <w:rPr>
          <w:rFonts w:ascii="Times New Roman" w:hAnsi="Times New Roman" w:eastAsia="Times New Roman"/>
          <w:b w:val="0"/>
          <w:i w:val="0"/>
          <w:sz w:val="22"/>
        </w:rPr>
        <w:t xml:space="preserve"> Tabuľka účtov a odporúčaných faktorov.</w:t>
      </w:r>
    </w:p>
    <w:p>
      <w:pPr>
        <w:pStyle w:val="Heading2"/>
        <w:keepNext/>
        <w:spacing w:before="200" w:after="120"/>
      </w:pPr>
      <w:r>
        <w:rPr>
          <w:rFonts w:ascii="Times New Roman" w:hAnsi="Times New Roman" w:eastAsia="Times New Roman"/>
          <w:b w:val="0"/>
          <w:color w:val="2A5D6C"/>
          <w:sz w:val="30"/>
        </w:rPr>
        <w:t>Úloha 3: Nájdi slabý fallback</w:t>
      </w:r>
    </w:p>
    <w:p>
      <w:pPr>
        <w:spacing w:before="0" w:after="120" w:line="259" w:lineRule="auto"/>
      </w:pPr>
      <w:r>
        <w:rPr>
          <w:rFonts w:ascii="Times New Roman" w:hAnsi="Times New Roman" w:eastAsia="Times New Roman"/>
          <w:b w:val="0"/>
          <w:i w:val="0"/>
          <w:sz w:val="22"/>
        </w:rPr>
        <w:t>Dostanete popis služby, ktorá podporuje FIDO2, ale pri probléme ponúkne SMS alebo e-mail OTP. Identifikujte riziko a navrhnite bezpečnejší fallback.</w:t>
      </w:r>
    </w:p>
    <w:p>
      <w:pPr>
        <w:spacing w:before="0" w:after="120" w:line="259" w:lineRule="auto"/>
      </w:pPr>
      <w:r>
        <w:rPr>
          <w:rFonts w:ascii="Times New Roman" w:hAnsi="Times New Roman" w:eastAsia="Times New Roman"/>
          <w:b/>
          <w:i w:val="0"/>
          <w:sz w:val="22"/>
        </w:rPr>
        <w:t>Výstup:</w:t>
      </w:r>
      <w:r>
        <w:rPr>
          <w:rFonts w:ascii="Times New Roman" w:hAnsi="Times New Roman" w:eastAsia="Times New Roman"/>
          <w:b w:val="0"/>
          <w:i w:val="0"/>
          <w:sz w:val="22"/>
        </w:rPr>
        <w:t xml:space="preserve"> Návrh bezpečného recovery a fallback procesu.</w:t>
      </w:r>
    </w:p>
    <w:p>
      <w:pPr>
        <w:pStyle w:val="Heading2"/>
        <w:keepNext/>
        <w:spacing w:before="200" w:after="120"/>
      </w:pPr>
      <w:r>
        <w:rPr>
          <w:rFonts w:ascii="Times New Roman" w:hAnsi="Times New Roman" w:eastAsia="Times New Roman"/>
          <w:b w:val="0"/>
          <w:color w:val="2A5D6C"/>
          <w:sz w:val="30"/>
        </w:rPr>
        <w:t>Úloha 4: Analýza prihlasovacích logov</w:t>
      </w:r>
    </w:p>
    <w:p>
      <w:pPr>
        <w:spacing w:before="0" w:after="120" w:line="259" w:lineRule="auto"/>
      </w:pPr>
      <w:r>
        <w:rPr>
          <w:rFonts w:ascii="Times New Roman" w:hAnsi="Times New Roman" w:eastAsia="Times New Roman"/>
          <w:b w:val="0"/>
          <w:i w:val="0"/>
          <w:sz w:val="22"/>
        </w:rPr>
        <w:t>V syntetickom datasete nájdite podozrivé udalosti: nové zariadenie, iná krajina, opakované push výzvy, zmena MFA faktora alebo vytvorený OAuth grant.</w:t>
      </w:r>
    </w:p>
    <w:p>
      <w:pPr>
        <w:spacing w:before="0" w:after="120" w:line="259" w:lineRule="auto"/>
      </w:pPr>
      <w:r>
        <w:rPr>
          <w:rFonts w:ascii="Times New Roman" w:hAnsi="Times New Roman" w:eastAsia="Times New Roman"/>
          <w:b/>
          <w:i w:val="0"/>
          <w:sz w:val="22"/>
        </w:rPr>
        <w:t>Výstup:</w:t>
      </w:r>
      <w:r>
        <w:rPr>
          <w:rFonts w:ascii="Times New Roman" w:hAnsi="Times New Roman" w:eastAsia="Times New Roman"/>
          <w:b w:val="0"/>
          <w:i w:val="0"/>
          <w:sz w:val="22"/>
        </w:rPr>
        <w:t xml:space="preserve"> Zoznam udalostí označených ako normálne, podozrivé alebo kritické.</w:t>
      </w:r>
    </w:p>
    <w:p>
      <w:pPr>
        <w:pStyle w:val="Heading2"/>
        <w:keepNext/>
        <w:spacing w:before="200" w:after="120"/>
      </w:pPr>
      <w:r>
        <w:rPr>
          <w:rFonts w:ascii="Times New Roman" w:hAnsi="Times New Roman" w:eastAsia="Times New Roman"/>
          <w:b w:val="0"/>
          <w:color w:val="2A5D6C"/>
          <w:sz w:val="30"/>
        </w:rPr>
        <w:t>Úloha 5: Používateľské odporúčania</w:t>
      </w:r>
    </w:p>
    <w:p>
      <w:pPr>
        <w:spacing w:before="0" w:after="120" w:line="259" w:lineRule="auto"/>
      </w:pPr>
      <w:r>
        <w:rPr>
          <w:rFonts w:ascii="Times New Roman" w:hAnsi="Times New Roman" w:eastAsia="Times New Roman"/>
          <w:b w:val="0"/>
          <w:i w:val="0"/>
          <w:sz w:val="22"/>
        </w:rPr>
        <w:t>Pripravte krátky oznam pre používateľov: čo robiť, ak dostanú nevyžiadanú MFA výzvu, ak stratili telefón alebo ak klikli na podozrivý odkaz.</w:t>
      </w:r>
    </w:p>
    <w:p>
      <w:pPr>
        <w:spacing w:before="0" w:after="120" w:line="259" w:lineRule="auto"/>
      </w:pPr>
      <w:r>
        <w:rPr>
          <w:rFonts w:ascii="Times New Roman" w:hAnsi="Times New Roman" w:eastAsia="Times New Roman"/>
          <w:b/>
          <w:i w:val="0"/>
          <w:sz w:val="22"/>
        </w:rPr>
        <w:t>Výstup:</w:t>
      </w:r>
      <w:r>
        <w:rPr>
          <w:rFonts w:ascii="Times New Roman" w:hAnsi="Times New Roman" w:eastAsia="Times New Roman"/>
          <w:b w:val="0"/>
          <w:i w:val="0"/>
          <w:sz w:val="22"/>
        </w:rPr>
        <w:t xml:space="preserve"> Krátky text použiteľný ako školský bezpečnostný oznam.</w:t>
      </w:r>
    </w:p>
    <w:p>
      <w:pPr>
        <w:pStyle w:val="Heading1"/>
        <w:keepNext/>
        <w:spacing w:before="240" w:after="160"/>
      </w:pPr>
      <w:r>
        <w:rPr>
          <w:rFonts w:ascii="Times New Roman" w:hAnsi="Times New Roman" w:eastAsia="Times New Roman"/>
          <w:b/>
          <w:color w:val="2A5D6C"/>
          <w:sz w:val="36"/>
        </w:rPr>
        <w:t>Návrh syntetického datasetu pre logovú úlohu</w:t>
      </w:r>
    </w:p>
    <w:p>
      <w:pPr>
        <w:spacing w:before="0" w:after="120" w:line="259" w:lineRule="auto"/>
      </w:pPr>
      <w:r>
        <w:rPr>
          <w:rFonts w:ascii="Times New Roman" w:hAnsi="Times New Roman" w:eastAsia="Times New Roman"/>
          <w:b w:val="0"/>
          <w:i w:val="0"/>
          <w:sz w:val="22"/>
        </w:rPr>
        <w:t>Dataset nemá obsahovať žiadne reálne osobné údaje. Stačí použiť fiktívne používateľské mená, lokálne IP rozsahy alebo anonymizované verejné IP adresy a vopred pripravené udalosti. Cieľom je naučiť účastníkov rozpoznávať vzory, nie analyzovať skutočné incidenty.</w:t>
      </w:r>
    </w:p>
    <w:tbl>
      <w:tblGrid>
        <w:gridCol w:w="1757"/>
        <w:gridCol w:w="2381"/>
        <w:gridCol w:w="4592"/>
      </w:tblGrid>
      <w:tblPr>
        <w:tblStyle w:val="TableGrid"/>
        <w:tblW w:type="dxa" w:w="8730"/>
        <w:jc w:val="center"/>
        <w:tblLayout w:type="fixed"/>
        <w:tblLook w:firstColumn="1" w:firstRow="1" w:lastColumn="0" w:lastRow="0" w:noHBand="0" w:noVBand="1" w:val="04A0"/>
      </w:tblPr>
      <w:tr>
        <w:trPr>
          <w:cantSplit/>
        </w:trPr>
        <w:tc>
          <w:tcPr>
            <w:tcW w:type="dxa" w:w="1757"/>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Stĺpec</w:t>
            </w:r>
          </w:p>
        </w:tc>
        <w:tc>
          <w:tcPr>
            <w:tcW w:type="dxa" w:w="238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Príklad hodnoty</w:t>
            </w:r>
          </w:p>
        </w:tc>
        <w:tc>
          <w:tcPr>
            <w:tcW w:type="dxa" w:w="4592"/>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Význam pre analýzu</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timestamp</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2024-10-14 09:32:11</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Kedy sa udalosť stala a či zapadá do bežného času používateľa.</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user_id</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student_014</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Fiktívny používateľ bez osobných údajov.</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event_type</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login_success / mfa_challenge / mfa_change / session_created</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Typ udalosti, podľa ktorého účastník skladá príbeh incidentu.</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mfa_method</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sms / totp / push / passkey</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Použitý spôsob overenia.</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device_id</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device_A17</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Pomáha odhaliť nové alebo nezvyčajné zariadenie.</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country</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SK / CZ / unknown</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Zjednodušený geografický kontext.</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risk_flag</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new_device / repeated_push / impossible_travel</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Pripravený indikátor, ktorý môžu účastníci overiť.</w:t>
            </w:r>
          </w:p>
        </w:tc>
      </w:tr>
      <w:tr>
        <w:trPr>
          <w:cantSplit/>
        </w:trPr>
        <w:tc>
          <w:tcPr>
            <w:tcW w:type="dxa" w:w="175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result</w:t>
            </w:r>
          </w:p>
        </w:tc>
        <w:tc>
          <w:tcPr>
            <w:tcW w:type="dxa" w:w="238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success / denied / timeout</w:t>
            </w:r>
          </w:p>
        </w:tc>
        <w:tc>
          <w:tcPr>
            <w:tcW w:type="dxa" w:w="459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Výsledok prihlásenia alebo MFA výzvy.</w:t>
            </w:r>
          </w:p>
        </w:tc>
      </w:tr>
    </w:tbl>
    <w:p>
      <w:pPr>
        <w:spacing w:after="40"/>
      </w:pPr>
    </w:p>
    <w:p>
      <w:pPr>
        <w:pStyle w:val="Heading1"/>
        <w:keepNext/>
        <w:spacing w:before="240" w:after="160"/>
      </w:pPr>
      <w:r>
        <w:rPr>
          <w:rFonts w:ascii="Times New Roman" w:hAnsi="Times New Roman" w:eastAsia="Times New Roman"/>
          <w:b/>
          <w:color w:val="2A5D6C"/>
          <w:sz w:val="36"/>
        </w:rPr>
        <w:t>Modelové scenáre pre tímovú prácu</w:t>
      </w:r>
    </w:p>
    <w:tbl>
      <w:tblGrid>
        <w:gridCol w:w="1871"/>
        <w:gridCol w:w="3572"/>
        <w:gridCol w:w="3288"/>
      </w:tblGrid>
      <w:tblPr>
        <w:tblStyle w:val="TableGrid"/>
        <w:tblW w:type="dxa" w:w="8731"/>
        <w:jc w:val="center"/>
        <w:tblLayout w:type="fixed"/>
        <w:tblLook w:firstColumn="1" w:firstRow="1" w:lastColumn="0" w:lastRow="0" w:noHBand="0" w:noVBand="1" w:val="04A0"/>
      </w:tblPr>
      <w:tr>
        <w:trPr>
          <w:cantSplit/>
        </w:trPr>
        <w:tc>
          <w:tcPr>
            <w:tcW w:type="dxa" w:w="1871"/>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Scenár</w:t>
            </w:r>
          </w:p>
        </w:tc>
        <w:tc>
          <w:tcPr>
            <w:tcW w:type="dxa" w:w="3572"/>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Situácia</w:t>
            </w:r>
          </w:p>
        </w:tc>
        <w:tc>
          <w:tcPr>
            <w:tcW w:type="dxa" w:w="328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Otázky pre účastníkov</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Neočakávaná push výzva</w:t>
            </w:r>
          </w:p>
        </w:tc>
        <w:tc>
          <w:tcPr>
            <w:tcW w:type="dxa" w:w="357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Používateľ dostáva opakované notifikácie na schválenie prihlásenia, hoci sa neprihlasuje.</w:t>
            </w:r>
          </w:p>
        </w:tc>
        <w:tc>
          <w:tcPr>
            <w:tcW w:type="dxa" w:w="328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Čo má používateľ urobiť? Aké logy má skontrolovať správca? Ako zabrániť opakovaniu?</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Nové MFA zariadenie</w:t>
            </w:r>
          </w:p>
        </w:tc>
        <w:tc>
          <w:tcPr>
            <w:tcW w:type="dxa" w:w="357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V logoch sa objavila úspešná zmena MFA faktora počas víkendu.</w:t>
            </w:r>
          </w:p>
        </w:tc>
        <w:tc>
          <w:tcPr>
            <w:tcW w:type="dxa" w:w="328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Kto zmenu schválil? Bol použitý recovery proces? Treba zrušiť aktívne relácie?</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Prihlásenie z novej krajiny</w:t>
            </w:r>
          </w:p>
        </w:tc>
        <w:tc>
          <w:tcPr>
            <w:tcW w:type="dxa" w:w="357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Účet má úspešné prihlásenie z neznámej lokality krátko po prihlásení zo Slovenska.</w:t>
            </w:r>
          </w:p>
        </w:tc>
        <w:tc>
          <w:tcPr>
            <w:tcW w:type="dxa" w:w="328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Ide o cestovanie, VPN alebo kompromitáciu? Aké ďalšie údaje chýbajú?</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Slabý fallback</w:t>
            </w:r>
          </w:p>
        </w:tc>
        <w:tc>
          <w:tcPr>
            <w:tcW w:type="dxa" w:w="357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Administrátorský účet má nastavený bezpečnostný kľúč, ale služba pri probléme umožní SMS kód.</w:t>
            </w:r>
          </w:p>
        </w:tc>
        <w:tc>
          <w:tcPr>
            <w:tcW w:type="dxa" w:w="328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Je účet naozaj chránený phishing-resistant MFA? Akú politiku nastaviť?</w:t>
            </w:r>
          </w:p>
        </w:tc>
      </w:tr>
      <w:tr>
        <w:trPr>
          <w:cantSplit/>
        </w:trPr>
        <w:tc>
          <w:tcPr>
            <w:tcW w:type="dxa" w:w="1871"/>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OAuth súhlas</w:t>
            </w:r>
          </w:p>
        </w:tc>
        <w:tc>
          <w:tcPr>
            <w:tcW w:type="dxa" w:w="357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Používateľ schválil aplikácii prístup k pošte a súborom.</w:t>
            </w:r>
          </w:p>
        </w:tc>
        <w:tc>
          <w:tcPr>
            <w:tcW w:type="dxa" w:w="328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Je aplikácia dôveryhodná? Kto môže schvaľovať oprávnenia? Ako sa súhlas zruší?</w:t>
            </w:r>
          </w:p>
        </w:tc>
      </w:tr>
    </w:tbl>
    <w:p>
      <w:pPr>
        <w:spacing w:after="40"/>
      </w:pPr>
    </w:p>
    <w:p>
      <w:r>
        <w:br w:type="page"/>
      </w:r>
    </w:p>
    <w:p>
      <w:pPr>
        <w:pStyle w:val="Heading1"/>
        <w:keepNext/>
        <w:spacing w:before="240" w:after="160"/>
      </w:pPr>
      <w:r>
        <w:rPr>
          <w:rFonts w:ascii="Times New Roman" w:hAnsi="Times New Roman" w:eastAsia="Times New Roman"/>
          <w:b/>
          <w:color w:val="2A5D6C"/>
          <w:sz w:val="36"/>
        </w:rPr>
        <w:t>Materiály potrebné na realizáciu workshopu</w:t>
      </w:r>
    </w:p>
    <w:tbl>
      <w:tblGrid>
        <w:gridCol w:w="1927"/>
        <w:gridCol w:w="3458"/>
        <w:gridCol w:w="3345"/>
      </w:tblGrid>
      <w:tblPr>
        <w:tblStyle w:val="TableGrid"/>
        <w:tblW w:type="dxa" w:w="8730"/>
        <w:jc w:val="center"/>
        <w:tblLayout w:type="fixed"/>
        <w:tblLook w:firstColumn="1" w:firstRow="1" w:lastColumn="0" w:lastRow="0" w:noHBand="0" w:noVBand="1" w:val="04A0"/>
      </w:tblPr>
      <w:tr>
        <w:trPr>
          <w:cantSplit/>
        </w:trPr>
        <w:tc>
          <w:tcPr>
            <w:tcW w:type="dxa" w:w="1927"/>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Materiál</w:t>
            </w:r>
          </w:p>
        </w:tc>
        <w:tc>
          <w:tcPr>
            <w:tcW w:type="dxa" w:w="345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Účel</w:t>
            </w:r>
          </w:p>
        </w:tc>
        <w:tc>
          <w:tcPr>
            <w:tcW w:type="dxa" w:w="334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Poznámka</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Prezentácia</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Základné pojmy, mýty, typy MFA a modelové riziká.</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Mala by obsahovať diagram autentifikačného toku a porovnanie MFA metód.</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Kartičky s tvrdeniami</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Aktivita „mýtus alebo realita“.</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Napr. „SMS kód je vždy bezpečný“, „2FA chráni aj pred krádežou session“.</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Kartičky so scenármi</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Tímová analýza rizík.</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Každá kartička obsahuje situáciu, nie návod na útok.</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Syntetické logy</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Praktická analýza udalostí.</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CSV alebo vytlačená tabuľka s fiktívnymi používateľmi.</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Pracovný list</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Záznam odpovedí tímov.</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Obsahuje tabuľky: riziko, indikátor, opatrenie, priorita.</w:t>
            </w:r>
          </w:p>
        </w:tc>
      </w:tr>
      <w:tr>
        <w:trPr>
          <w:cantSplit/>
        </w:trPr>
        <w:tc>
          <w:tcPr>
            <w:tcW w:type="dxa" w:w="192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Záverečný checklist</w:t>
            </w:r>
          </w:p>
        </w:tc>
        <w:tc>
          <w:tcPr>
            <w:tcW w:type="dxa" w:w="345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Prenos poznatkov do praxe.</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Použiteľný pri hodnotení školských účtov alebo študentských projektov.</w:t>
            </w:r>
          </w:p>
        </w:tc>
      </w:tr>
    </w:tbl>
    <w:p>
      <w:pPr>
        <w:spacing w:after="40"/>
      </w:pPr>
    </w:p>
    <w:p>
      <w:pPr>
        <w:pStyle w:val="Heading1"/>
        <w:keepNext/>
        <w:spacing w:before="240" w:after="160"/>
      </w:pPr>
      <w:r>
        <w:rPr>
          <w:rFonts w:ascii="Times New Roman" w:hAnsi="Times New Roman" w:eastAsia="Times New Roman"/>
          <w:b/>
          <w:color w:val="2A5D6C"/>
          <w:sz w:val="36"/>
        </w:rPr>
        <w:t>Poznámky pre lektora</w:t>
      </w:r>
    </w:p>
    <w:p>
      <w:pPr>
        <w:pStyle w:val="ListBullet"/>
        <w:spacing w:before="0" w:after="40" w:line="252" w:lineRule="auto"/>
      </w:pPr>
      <w:r>
        <w:rPr>
          <w:rFonts w:ascii="Times New Roman" w:hAnsi="Times New Roman" w:eastAsia="Times New Roman"/>
          <w:b w:val="0"/>
          <w:i w:val="0"/>
          <w:sz w:val="21"/>
        </w:rPr>
        <w:t>Nepoužívajte názvy reálnych phishingových nástrojov ani ich konfigurácie. Ak účastníci tieto nástroje poznajú, diskusiu presmerujte na obranu, detekciu a etické hranice.</w:t>
      </w:r>
    </w:p>
    <w:p>
      <w:pPr>
        <w:pStyle w:val="ListBullet"/>
        <w:spacing w:before="0" w:after="40" w:line="252" w:lineRule="auto"/>
      </w:pPr>
      <w:r>
        <w:rPr>
          <w:rFonts w:ascii="Times New Roman" w:hAnsi="Times New Roman" w:eastAsia="Times New Roman"/>
          <w:b w:val="0"/>
          <w:i w:val="0"/>
          <w:sz w:val="21"/>
        </w:rPr>
        <w:t>Pri každom scenári zdôraznite, že útok sa nesmie skúšať na reálnych službách, spolužiakoch ani univerzitných účtoch.</w:t>
      </w:r>
    </w:p>
    <w:p>
      <w:pPr>
        <w:pStyle w:val="ListBullet"/>
        <w:spacing w:before="0" w:after="40" w:line="252" w:lineRule="auto"/>
      </w:pPr>
      <w:r>
        <w:rPr>
          <w:rFonts w:ascii="Times New Roman" w:hAnsi="Times New Roman" w:eastAsia="Times New Roman"/>
          <w:b w:val="0"/>
          <w:i w:val="0"/>
          <w:sz w:val="21"/>
        </w:rPr>
        <w:t>Namiesto technickej demonštrácie útoku použite modelový diagram, syntetický log alebo screenshot fiktívnej aplikácie.</w:t>
      </w:r>
    </w:p>
    <w:p>
      <w:pPr>
        <w:pStyle w:val="ListBullet"/>
        <w:spacing w:before="0" w:after="40" w:line="252" w:lineRule="auto"/>
      </w:pPr>
      <w:r>
        <w:rPr>
          <w:rFonts w:ascii="Times New Roman" w:hAnsi="Times New Roman" w:eastAsia="Times New Roman"/>
          <w:b w:val="0"/>
          <w:i w:val="0"/>
          <w:sz w:val="21"/>
        </w:rPr>
        <w:t>Nezameriavajte sa iba na technológiu. Dôležitá je aj obnova účtu, helpdesk proces, školenie používateľov a reakcia na incident.</w:t>
      </w:r>
    </w:p>
    <w:p>
      <w:pPr>
        <w:pStyle w:val="ListBullet"/>
        <w:spacing w:before="0" w:after="40" w:line="252" w:lineRule="auto"/>
      </w:pPr>
      <w:r>
        <w:rPr>
          <w:rFonts w:ascii="Times New Roman" w:hAnsi="Times New Roman" w:eastAsia="Times New Roman"/>
          <w:b w:val="0"/>
          <w:i w:val="0"/>
          <w:sz w:val="21"/>
        </w:rPr>
        <w:t>Pri stredoškolskom publiku uprednostnite jednoduché scenáre, hlasovanie a diskusiu. Pri vysokoškolskom publiku možno doplniť viac práce s logmi a návrh politiky.</w:t>
      </w:r>
    </w:p>
    <w:p>
      <w:pPr>
        <w:pStyle w:val="Heading1"/>
        <w:keepNext/>
        <w:spacing w:before="240" w:after="160"/>
      </w:pPr>
      <w:r>
        <w:rPr>
          <w:rFonts w:ascii="Times New Roman" w:hAnsi="Times New Roman" w:eastAsia="Times New Roman"/>
          <w:b/>
          <w:color w:val="2A5D6C"/>
          <w:sz w:val="36"/>
        </w:rPr>
        <w:t>Zakázané prvky a riziká realizácie</w:t>
      </w:r>
    </w:p>
    <w:tbl>
      <w:tblGrid>
        <w:gridCol w:w="8731"/>
      </w:tblGrid>
      <w:tblPr>
        <w:tblW w:type="dxa" w:w="8731"/>
        <w:jc w:val="center"/>
        <w:tblLayout w:type="fixed"/>
        <w:tblLook w:firstColumn="1" w:firstRow="1" w:lastColumn="0" w:lastRow="0" w:noHBand="0" w:noVBand="1" w:val="04A0"/>
      </w:tblPr>
      <w:tr>
        <w:tc>
          <w:tcPr>
            <w:tcW w:type="dxa" w:w="8731"/>
            <w:shd w:fill="FCE4D6"/>
            <w:tcBorders>
              <w:top w:val="single" w:sz="6" w:color="B7C6CC"/>
              <w:left w:val="single" w:sz="6" w:color="B7C6CC"/>
              <w:bottom w:val="single" w:sz="6" w:color="B7C6CC"/>
              <w:right w:val="single" w:sz="6" w:color="B7C6CC"/>
            </w:tcBorders>
          </w:tcPr>
          <w:p>
            <w:pPr>
              <w:spacing w:before="0" w:after="60" w:line="240" w:lineRule="auto"/>
            </w:pPr>
            <w:r>
              <w:rPr>
                <w:rFonts w:ascii="Times New Roman" w:hAnsi="Times New Roman" w:eastAsia="Times New Roman"/>
                <w:b/>
                <w:i w:val="0"/>
                <w:color w:val="2A5D6C"/>
                <w:sz w:val="21"/>
              </w:rPr>
              <w:t>Čo sa vo workshope nemá robiť</w:t>
            </w:r>
          </w:p>
          <w:p>
            <w:pPr>
              <w:spacing w:before="0" w:after="40" w:line="252" w:lineRule="auto"/>
            </w:pPr>
            <w:r>
              <w:rPr>
                <w:rFonts w:ascii="Times New Roman" w:hAnsi="Times New Roman" w:eastAsia="Times New Roman"/>
                <w:b w:val="0"/>
                <w:i w:val="0"/>
                <w:sz w:val="19"/>
              </w:rPr>
              <w:t>Neposielať účastníkom falošné prihlasovacie stránky ani falošné e-maily mimo vopred dohodnutého a uzavretého cvičenia.</w:t>
            </w:r>
          </w:p>
          <w:p>
            <w:pPr>
              <w:spacing w:before="0" w:after="40" w:line="252" w:lineRule="auto"/>
            </w:pPr>
            <w:r>
              <w:rPr>
                <w:rFonts w:ascii="Times New Roman" w:hAnsi="Times New Roman" w:eastAsia="Times New Roman"/>
                <w:b w:val="0"/>
                <w:i w:val="0"/>
                <w:sz w:val="19"/>
              </w:rPr>
              <w:t>Nezbierať heslá, OTP kódy, session cookies, tokeny ani osobné údaje účastníkov.</w:t>
            </w:r>
          </w:p>
          <w:p>
            <w:pPr>
              <w:spacing w:before="0" w:after="40" w:line="252" w:lineRule="auto"/>
            </w:pPr>
            <w:r>
              <w:rPr>
                <w:rFonts w:ascii="Times New Roman" w:hAnsi="Times New Roman" w:eastAsia="Times New Roman"/>
                <w:b w:val="0"/>
                <w:i w:val="0"/>
                <w:sz w:val="19"/>
              </w:rPr>
              <w:t>Nepoužívať reálne identity provider služby, banky, školské systémy, sociálne siete ani cloudové účty.</w:t>
            </w:r>
          </w:p>
          <w:p>
            <w:pPr>
              <w:spacing w:before="0" w:after="40" w:line="252" w:lineRule="auto"/>
            </w:pPr>
            <w:r>
              <w:rPr>
                <w:rFonts w:ascii="Times New Roman" w:hAnsi="Times New Roman" w:eastAsia="Times New Roman"/>
                <w:b w:val="0"/>
                <w:i w:val="0"/>
                <w:sz w:val="19"/>
              </w:rPr>
              <w:t>Nedemonštrovať obchádzanie MFA na verejných službách ani na účtoch tretích strán.</w:t>
            </w:r>
          </w:p>
          <w:p>
            <w:pPr>
              <w:spacing w:before="0" w:after="40" w:line="252" w:lineRule="auto"/>
            </w:pPr>
            <w:r>
              <w:rPr>
                <w:rFonts w:ascii="Times New Roman" w:hAnsi="Times New Roman" w:eastAsia="Times New Roman"/>
                <w:b w:val="0"/>
                <w:i w:val="0"/>
                <w:sz w:val="19"/>
              </w:rPr>
              <w:t>Neposkytovať návody, ktoré by účastník vedel okamžite použiť na phishing, AiTM útok alebo krádež relácie.</w:t>
            </w:r>
          </w:p>
        </w:tc>
      </w:tr>
    </w:tbl>
    <w:p>
      <w:pPr>
        <w:spacing w:after="40"/>
      </w:pPr>
    </w:p>
    <w:p>
      <w:r>
        <w:br w:type="page"/>
      </w:r>
    </w:p>
    <w:p>
      <w:pPr>
        <w:pStyle w:val="Heading1"/>
        <w:keepNext/>
        <w:spacing w:before="240" w:after="160"/>
      </w:pPr>
      <w:r>
        <w:rPr>
          <w:rFonts w:ascii="Times New Roman" w:hAnsi="Times New Roman" w:eastAsia="Times New Roman"/>
          <w:b/>
          <w:color w:val="2A5D6C"/>
          <w:sz w:val="36"/>
        </w:rPr>
        <w:t>Checklist bezpečnej MFA politiky</w:t>
      </w:r>
    </w:p>
    <w:tbl>
      <w:tblGrid>
        <w:gridCol w:w="1587"/>
        <w:gridCol w:w="3175"/>
        <w:gridCol w:w="2664"/>
        <w:gridCol w:w="1304"/>
      </w:tblGrid>
      <w:tblPr>
        <w:tblStyle w:val="TableGrid"/>
        <w:tblW w:type="dxa" w:w="8730"/>
        <w:jc w:val="center"/>
        <w:tblLayout w:type="fixed"/>
        <w:tblLook w:firstColumn="1" w:firstRow="1" w:lastColumn="0" w:lastRow="0" w:noHBand="0" w:noVBand="1" w:val="04A0"/>
      </w:tblPr>
      <w:tr>
        <w:tc>
          <w:tcPr>
            <w:tcW w:type="dxa" w:w="1587"/>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7"/>
              </w:rPr>
              <w:t>Oblasť</w:t>
            </w:r>
          </w:p>
        </w:tc>
        <w:tc>
          <w:tcPr>
            <w:tcW w:type="dxa" w:w="317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7"/>
              </w:rPr>
              <w:t>Kontrolná otázka</w:t>
            </w:r>
          </w:p>
        </w:tc>
        <w:tc>
          <w:tcPr>
            <w:tcW w:type="dxa" w:w="2664"/>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7"/>
              </w:rPr>
              <w:t>Dôkaz / výstup</w:t>
            </w:r>
          </w:p>
        </w:tc>
        <w:tc>
          <w:tcPr>
            <w:tcW w:type="dxa" w:w="1304"/>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7"/>
              </w:rPr>
              <w:t>Stav</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Kritické účty</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Sú administrátorské a finančné účty chránené silnejšou MFA ako bežné účty?</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Zoznam privilegovaných účtov a nastavených MFA metód.</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Metódy MFA</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Sú SMS a e-mail OTP obmedzené alebo nahradené bezpečnejšími metódami?</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Konfigurácia identity providera alebo bezpečnostnej politiky.</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Phishing-resistant MFA</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Je pre rizikové účty dostupné FIDO2/WebAuthn alebo passkeys?</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Pilotná skupina, inventár podporovaných zariadení.</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Fallbacky</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Existuje kontrolovaný a auditovaný proces náhradného prihlásenia?</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Popis recovery procesu a jeho schvaľovanie.</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Reset MFA</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Je reset druhého faktora overovaný viac než jedným signálom?</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Helpdesk postup, logy a pravidlá eskalácie.</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Relácie</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Vie správca rýchlo zrušiť aktívne relácie po podozrení na kompromitáciu?</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Postup revokácie tokenov a sessions.</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Monitoring</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Sledujú sa nové zariadenia, neobvyklé krajiny, opakované push výzvy a nové OAuth granty?</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Alerty, logy, SIEM alebo pravidelná kontrola.</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r>
        <w:tc>
          <w:tcPr>
            <w:tcW w:type="dxa" w:w="1587"/>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i w:val="0"/>
                <w:sz w:val="16"/>
              </w:rPr>
              <w:t>Používatelia</w:t>
            </w:r>
          </w:p>
        </w:tc>
        <w:tc>
          <w:tcPr>
            <w:tcW w:type="dxa" w:w="317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Vedia používatelia nahlásiť nevyžiadanú MFA výzvu alebo podozrivý e-mail?</w:t>
            </w:r>
          </w:p>
        </w:tc>
        <w:tc>
          <w:tcPr>
            <w:tcW w:type="dxa" w:w="266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6"/>
              </w:rPr>
              <w:t>Komunikačný kanál a krátky návod pre používateľov.</w:t>
            </w:r>
          </w:p>
        </w:tc>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5"/>
              </w:rPr>
              <w:t>[ ] áno</w:t>
              <w:br/>
              <w:t>[ ] čiastočne</w:t>
              <w:br/>
              <w:t>[ ] nie</w:t>
            </w:r>
          </w:p>
        </w:tc>
      </w:tr>
    </w:tbl>
    <w:p>
      <w:pPr>
        <w:spacing w:after="40"/>
      </w:pPr>
    </w:p>
    <w:p>
      <w:pPr>
        <w:pStyle w:val="Heading1"/>
        <w:keepNext/>
        <w:spacing w:before="240" w:after="160"/>
      </w:pPr>
      <w:r>
        <w:rPr>
          <w:rFonts w:ascii="Times New Roman" w:hAnsi="Times New Roman" w:eastAsia="Times New Roman"/>
          <w:b/>
          <w:color w:val="2A5D6C"/>
          <w:sz w:val="36"/>
        </w:rPr>
        <w:t>Hodnotenie účastníkov</w:t>
      </w:r>
    </w:p>
    <w:tbl>
      <w:tblGrid>
        <w:gridCol w:w="2268"/>
        <w:gridCol w:w="793"/>
        <w:gridCol w:w="5670"/>
      </w:tblGrid>
      <w:tblPr>
        <w:tblStyle w:val="TableGrid"/>
        <w:tblW w:type="dxa" w:w="8731"/>
        <w:jc w:val="center"/>
        <w:tblLayout w:type="fixed"/>
        <w:tblLook w:firstColumn="1" w:firstRow="1" w:lastColumn="0" w:lastRow="0" w:noHBand="0" w:noVBand="1" w:val="04A0"/>
      </w:tblPr>
      <w:tr>
        <w:trPr>
          <w:cantSplit/>
        </w:trPr>
        <w:tc>
          <w:tcPr>
            <w:tcW w:type="dxa" w:w="2268"/>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Kritérium</w:t>
            </w:r>
          </w:p>
        </w:tc>
        <w:tc>
          <w:tcPr>
            <w:tcW w:type="dxa" w:w="793"/>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Body</w:t>
            </w:r>
          </w:p>
        </w:tc>
        <w:tc>
          <w:tcPr>
            <w:tcW w:type="dxa" w:w="5670"/>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Popis hodnotenia</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Porozumenie pojmom</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20</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Účastník správne vysvetlí rozdiel medzi 2FA, MFA, reláciou, tokenom a recovery procesom.</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Porovnanie MFA metód</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20</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Účastník vie zoradiť metódy podľa rizika a obhájiť kompromisy medzi bezpečnosťou a použiteľnosťou.</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Analýza scenára</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20</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Účastník identifikuje pravdepodobný problém v modelovej situácii a navrhne obranné opatrenie.</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Práca s logmi</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20</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Účastník nájde podozrivé udalosti v syntetických logoch a vysvetlí ich význam.</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Návrh politiky</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15</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Návrh je realistický, prioritizovaný a rozlišuje bežné a privilegované účty.</w:t>
            </w:r>
          </w:p>
        </w:tc>
      </w:tr>
      <w:tr>
        <w:trPr>
          <w:cantSplit/>
        </w:trPr>
        <w:tc>
          <w:tcPr>
            <w:tcW w:type="dxa" w:w="2268"/>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Etika</w:t>
            </w:r>
          </w:p>
        </w:tc>
        <w:tc>
          <w:tcPr>
            <w:tcW w:type="dxa" w:w="793"/>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5</w:t>
            </w:r>
          </w:p>
        </w:tc>
        <w:tc>
          <w:tcPr>
            <w:tcW w:type="dxa" w:w="5670"/>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Účastník rešpektuje hranice autorizovaného testovania a obranný charakter workshopu.</w:t>
            </w:r>
          </w:p>
        </w:tc>
      </w:tr>
    </w:tbl>
    <w:p>
      <w:pPr>
        <w:spacing w:after="40"/>
      </w:pPr>
    </w:p>
    <w:p>
      <w:r>
        <w:br w:type="page"/>
      </w:r>
    </w:p>
    <w:p>
      <w:pPr>
        <w:pStyle w:val="Heading1"/>
        <w:keepNext/>
        <w:spacing w:before="240" w:after="160"/>
      </w:pPr>
      <w:r>
        <w:rPr>
          <w:rFonts w:ascii="Times New Roman" w:hAnsi="Times New Roman" w:eastAsia="Times New Roman"/>
          <w:b/>
          <w:color w:val="2A5D6C"/>
          <w:sz w:val="36"/>
        </w:rPr>
        <w:t>Skrátená 90-minútová verzia workshopu</w:t>
      </w:r>
    </w:p>
    <w:p>
      <w:pPr>
        <w:spacing w:before="0" w:after="120" w:line="259" w:lineRule="auto"/>
      </w:pPr>
      <w:r>
        <w:rPr>
          <w:rFonts w:ascii="Times New Roman" w:hAnsi="Times New Roman" w:eastAsia="Times New Roman"/>
          <w:b w:val="0"/>
          <w:i w:val="0"/>
          <w:sz w:val="22"/>
        </w:rPr>
        <w:t>Pri popularizačnom podujatí alebo pri práci so stredoškolskými študentmi možno workshop skrátiť na 90 minút. V tejto verzii sa odporúča vynechať podrobné logy a ponechať kartičkové aktivity, hlasovanie a jednoduché modelové situácie.</w:t>
      </w:r>
    </w:p>
    <w:tbl>
      <w:tblGrid>
        <w:gridCol w:w="1304"/>
        <w:gridCol w:w="4082"/>
        <w:gridCol w:w="3345"/>
      </w:tblGrid>
      <w:tblPr>
        <w:tblStyle w:val="TableGrid"/>
        <w:tblW w:type="dxa" w:w="8731"/>
        <w:jc w:val="center"/>
        <w:tblLayout w:type="fixed"/>
        <w:tblLook w:firstColumn="1" w:firstRow="1" w:lastColumn="0" w:lastRow="0" w:noHBand="0" w:noVBand="1" w:val="04A0"/>
      </w:tblPr>
      <w:tr>
        <w:trPr>
          <w:cantSplit/>
        </w:trPr>
        <w:tc>
          <w:tcPr>
            <w:tcW w:type="dxa" w:w="1304"/>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Čas</w:t>
            </w:r>
          </w:p>
        </w:tc>
        <w:tc>
          <w:tcPr>
            <w:tcW w:type="dxa" w:w="4082"/>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Aktivita</w:t>
            </w:r>
          </w:p>
        </w:tc>
        <w:tc>
          <w:tcPr>
            <w:tcW w:type="dxa" w:w="3345"/>
            <w:shd w:fill="EAF3F6"/>
            <w:tcBorders>
              <w:top w:val="single" w:sz="4" w:color="B7C6CC"/>
              <w:left w:val="single" w:sz="4" w:color="B7C6CC"/>
              <w:bottom w:val="single" w:sz="4" w:color="B7C6CC"/>
              <w:right w:val="single" w:sz="4" w:color="B7C6CC"/>
            </w:tcBorders>
          </w:tcPr>
          <w:p>
            <w:pPr>
              <w:spacing w:before="0" w:after="20" w:line="240" w:lineRule="auto"/>
              <w:jc w:val="center"/>
            </w:pPr>
            <w:r>
              <w:rPr>
                <w:rFonts w:ascii="Times New Roman" w:hAnsi="Times New Roman" w:eastAsia="Times New Roman"/>
                <w:b/>
                <w:i w:val="0"/>
                <w:color w:val="2A5D6C"/>
                <w:sz w:val="18"/>
              </w:rPr>
              <w:t>Forma</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0-10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Príbeh kompromitovaného účtu s 2FA.</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Krátky prípad a otázky pre publikum.</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10-25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Mýty o 2FA.</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Hlasovanie alebo kartičky.</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25-45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Porovnanie MFA metód.</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Tímové zoradenie metód podľa bezpečnosti.</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45-65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Modelové scenáre.</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Skupiny riešia nečakanú push výzvu, SIM swap, slabý fallback.</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65-80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Navrhni bezpečnejšie pravidlá.</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Tímy navrhnú tri najdôležitejšie opatrenia.</w:t>
            </w:r>
          </w:p>
        </w:tc>
      </w:tr>
      <w:tr>
        <w:trPr>
          <w:cantSplit/>
        </w:trPr>
        <w:tc>
          <w:tcPr>
            <w:tcW w:type="dxa" w:w="1304"/>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80-90 min</w:t>
            </w:r>
          </w:p>
        </w:tc>
        <w:tc>
          <w:tcPr>
            <w:tcW w:type="dxa" w:w="4082"/>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Záver a kvíz.</w:t>
            </w:r>
          </w:p>
        </w:tc>
        <w:tc>
          <w:tcPr>
            <w:tcW w:type="dxa" w:w="3345"/>
            <w:vAlign w:val="center"/>
            <w:tcBorders>
              <w:top w:val="single" w:sz="4" w:color="B7C6CC"/>
              <w:left w:val="single" w:sz="4" w:color="B7C6CC"/>
              <w:bottom w:val="single" w:sz="4" w:color="B7C6CC"/>
              <w:right w:val="single" w:sz="4" w:color="B7C6CC"/>
            </w:tcBorders>
          </w:tcPr>
          <w:p>
            <w:pPr>
              <w:spacing w:before="0" w:after="20" w:line="240" w:lineRule="auto"/>
            </w:pPr>
            <w:r>
              <w:rPr>
                <w:rFonts w:ascii="Times New Roman" w:hAnsi="Times New Roman" w:eastAsia="Times New Roman"/>
                <w:b w:val="0"/>
                <w:i w:val="0"/>
                <w:sz w:val="17"/>
              </w:rPr>
              <w:t>Krátke vyhodnotenie a odporúčania.</w:t>
            </w:r>
          </w:p>
        </w:tc>
      </w:tr>
    </w:tbl>
    <w:p>
      <w:pPr>
        <w:spacing w:after="40"/>
      </w:pPr>
    </w:p>
    <w:p>
      <w:pPr>
        <w:pStyle w:val="Heading1"/>
        <w:keepNext/>
        <w:spacing w:before="240" w:after="160"/>
      </w:pPr>
      <w:r>
        <w:rPr>
          <w:rFonts w:ascii="Times New Roman" w:hAnsi="Times New Roman" w:eastAsia="Times New Roman"/>
          <w:b/>
          <w:color w:val="2A5D6C"/>
          <w:sz w:val="36"/>
        </w:rPr>
        <w:t>Záverečné odporúčania pre účastníkov</w:t>
      </w:r>
    </w:p>
    <w:tbl>
      <w:tblGrid>
        <w:gridCol w:w="8731"/>
      </w:tblGrid>
      <w:tblPr>
        <w:tblW w:type="dxa" w:w="8731"/>
        <w:jc w:val="center"/>
        <w:tblLayout w:type="fixed"/>
        <w:tblLook w:firstColumn="1" w:firstRow="1" w:lastColumn="0" w:lastRow="0" w:noHBand="0" w:noVBand="1" w:val="04A0"/>
      </w:tblPr>
      <w:tr>
        <w:tc>
          <w:tcPr>
            <w:tcW w:type="dxa" w:w="8731"/>
            <w:shd w:fill="EAF3F6"/>
            <w:tcBorders>
              <w:top w:val="single" w:sz="6" w:color="B7C6CC"/>
              <w:left w:val="single" w:sz="6" w:color="B7C6CC"/>
              <w:bottom w:val="single" w:sz="6" w:color="B7C6CC"/>
              <w:right w:val="single" w:sz="6" w:color="B7C6CC"/>
            </w:tcBorders>
          </w:tcPr>
          <w:p>
            <w:pPr>
              <w:spacing w:before="0" w:after="60" w:line="240" w:lineRule="auto"/>
            </w:pPr>
            <w:r>
              <w:rPr>
                <w:rFonts w:ascii="Times New Roman" w:hAnsi="Times New Roman" w:eastAsia="Times New Roman"/>
                <w:b/>
                <w:i w:val="0"/>
                <w:color w:val="2A5D6C"/>
                <w:sz w:val="21"/>
              </w:rPr>
              <w:t>Čo si majú účastníci odniesť</w:t>
            </w:r>
          </w:p>
          <w:p>
            <w:pPr>
              <w:spacing w:before="0" w:after="40" w:line="252" w:lineRule="auto"/>
            </w:pPr>
            <w:r>
              <w:rPr>
                <w:rFonts w:ascii="Times New Roman" w:hAnsi="Times New Roman" w:eastAsia="Times New Roman"/>
                <w:b w:val="0"/>
                <w:i w:val="0"/>
                <w:sz w:val="19"/>
              </w:rPr>
              <w:t>2FA je veľmi dôležitá, ale nie každá 2FA je rovnako silná.</w:t>
            </w:r>
          </w:p>
          <w:p>
            <w:pPr>
              <w:spacing w:before="0" w:after="40" w:line="252" w:lineRule="auto"/>
            </w:pPr>
            <w:r>
              <w:rPr>
                <w:rFonts w:ascii="Times New Roman" w:hAnsi="Times New Roman" w:eastAsia="Times New Roman"/>
                <w:b w:val="0"/>
                <w:i w:val="0"/>
                <w:sz w:val="19"/>
              </w:rPr>
              <w:t>SMS a jednorazové kódy sú lepšie ako samotné heslo, ale môžu byť vylákané alebo zneužité.</w:t>
            </w:r>
          </w:p>
          <w:p>
            <w:pPr>
              <w:spacing w:before="0" w:after="40" w:line="252" w:lineRule="auto"/>
            </w:pPr>
            <w:r>
              <w:rPr>
                <w:rFonts w:ascii="Times New Roman" w:hAnsi="Times New Roman" w:eastAsia="Times New Roman"/>
                <w:b w:val="0"/>
                <w:i w:val="0"/>
                <w:sz w:val="19"/>
              </w:rPr>
              <w:t>Push notifikácie sú pohodlné, ale musia obsahovať kontext a number matching.</w:t>
            </w:r>
          </w:p>
          <w:p>
            <w:pPr>
              <w:spacing w:before="0" w:after="40" w:line="252" w:lineRule="auto"/>
            </w:pPr>
            <w:r>
              <w:rPr>
                <w:rFonts w:ascii="Times New Roman" w:hAnsi="Times New Roman" w:eastAsia="Times New Roman"/>
                <w:b w:val="0"/>
                <w:i w:val="0"/>
                <w:sz w:val="19"/>
              </w:rPr>
              <w:t>FIDO2/WebAuthn a passkeys sú vhodný cieľový stav pre citlivé a privilegované účty.</w:t>
            </w:r>
          </w:p>
          <w:p>
            <w:pPr>
              <w:spacing w:before="0" w:after="40" w:line="252" w:lineRule="auto"/>
            </w:pPr>
            <w:r>
              <w:rPr>
                <w:rFonts w:ascii="Times New Roman" w:hAnsi="Times New Roman" w:eastAsia="Times New Roman"/>
                <w:b w:val="0"/>
                <w:i w:val="0"/>
                <w:sz w:val="19"/>
              </w:rPr>
              <w:t>Bezpečnosť MFA závisí aj od obnovy účtu, fallbackov, revokácie relácií a monitoringu.</w:t>
            </w:r>
          </w:p>
          <w:p>
            <w:pPr>
              <w:spacing w:before="0" w:after="40" w:line="252" w:lineRule="auto"/>
            </w:pPr>
            <w:r>
              <w:rPr>
                <w:rFonts w:ascii="Times New Roman" w:hAnsi="Times New Roman" w:eastAsia="Times New Roman"/>
                <w:b w:val="0"/>
                <w:i w:val="0"/>
                <w:sz w:val="19"/>
              </w:rPr>
              <w:t>Pri podozrivej MFA výzve treba výzvu zamietnuť a incident nahlásiť.</w:t>
            </w:r>
          </w:p>
        </w:tc>
      </w:tr>
    </w:tbl>
    <w:p>
      <w:pPr>
        <w:spacing w:after="40"/>
      </w:pPr>
    </w:p>
    <w:p>
      <w:pPr>
        <w:pStyle w:val="Heading1"/>
        <w:keepNext/>
        <w:spacing w:before="240" w:after="160"/>
      </w:pPr>
      <w:r>
        <w:rPr>
          <w:rFonts w:ascii="Times New Roman" w:hAnsi="Times New Roman" w:eastAsia="Times New Roman"/>
          <w:b/>
          <w:color w:val="2A5D6C"/>
          <w:sz w:val="36"/>
        </w:rPr>
        <w:t>Použitá literatúra a odporúčané zdroje</w:t>
      </w:r>
    </w:p>
    <w:p>
      <w:pPr>
        <w:pStyle w:val="ListBullet"/>
        <w:spacing w:before="0" w:after="40" w:line="240" w:lineRule="auto"/>
      </w:pPr>
      <w:r>
        <w:rPr>
          <w:rFonts w:ascii="Times New Roman" w:hAnsi="Times New Roman" w:eastAsia="Times New Roman"/>
          <w:b w:val="0"/>
          <w:i w:val="0"/>
          <w:sz w:val="18"/>
        </w:rPr>
        <w:t>[1] CISA. Implementing Phishing-Resistant MFA. Dostupné na: https://www.cisa.gov/sites/default/files/publications/fact-sheet-implementing-phishing-resistant-mfa-508c.pdf</w:t>
      </w:r>
    </w:p>
    <w:p>
      <w:pPr>
        <w:pStyle w:val="ListBullet"/>
        <w:spacing w:before="0" w:after="40" w:line="240" w:lineRule="auto"/>
      </w:pPr>
      <w:r>
        <w:rPr>
          <w:rFonts w:ascii="Times New Roman" w:hAnsi="Times New Roman" w:eastAsia="Times New Roman"/>
          <w:b w:val="0"/>
          <w:i w:val="0"/>
          <w:sz w:val="18"/>
        </w:rPr>
        <w:t>[2] OWASP Cheat Sheet Series. Multifactor Authentication Cheat Sheet. Dostupné na: https://cheatsheetseries.owasp.org/cheatsheets/Multifactor_Authentication_Cheat_Sheet.html</w:t>
      </w:r>
    </w:p>
    <w:p>
      <w:pPr>
        <w:pStyle w:val="ListBullet"/>
        <w:spacing w:before="0" w:after="40" w:line="240" w:lineRule="auto"/>
      </w:pPr>
      <w:r>
        <w:rPr>
          <w:rFonts w:ascii="Times New Roman" w:hAnsi="Times New Roman" w:eastAsia="Times New Roman"/>
          <w:b w:val="0"/>
          <w:i w:val="0"/>
          <w:sz w:val="18"/>
        </w:rPr>
        <w:t>[3] OWASP Web Security Testing Guide. Testing Multi-Factor Authentication. Dostupné na: https://github.com/OWASP/wstg/blob/master/document/4-Web_Application_Security_Testing/04-Authentication_Testing/11-Testing_Multi-Factor_Authentication.md</w:t>
      </w:r>
    </w:p>
    <w:p>
      <w:pPr>
        <w:pStyle w:val="ListBullet"/>
        <w:spacing w:before="0" w:after="40" w:line="240" w:lineRule="auto"/>
      </w:pPr>
      <w:r>
        <w:rPr>
          <w:rFonts w:ascii="Times New Roman" w:hAnsi="Times New Roman" w:eastAsia="Times New Roman"/>
          <w:b w:val="0"/>
          <w:i w:val="0"/>
          <w:sz w:val="18"/>
        </w:rPr>
        <w:t>[4] NIST. SP 800-63B Digital Identity Guidelines: Authentication and Authenticator Management. Dostupné na: https://pages.nist.gov/800-63-4/sp800-63b.html</w:t>
      </w:r>
    </w:p>
    <w:p>
      <w:pPr>
        <w:pStyle w:val="ListBullet"/>
        <w:spacing w:before="0" w:after="40" w:line="240" w:lineRule="auto"/>
      </w:pPr>
      <w:r>
        <w:rPr>
          <w:rFonts w:ascii="Times New Roman" w:hAnsi="Times New Roman" w:eastAsia="Times New Roman"/>
          <w:b w:val="0"/>
          <w:i w:val="0"/>
          <w:sz w:val="18"/>
        </w:rPr>
        <w:t>[5] Microsoft. Microsoft Digital Defense Report 2024. Dostupné na: https://www.microsoft.com/en-us/security/security-insider/threat-landscape/microsoft-digital-defense-report-2024</w:t>
      </w:r>
    </w:p>
    <w:p>
      <w:pPr>
        <w:pStyle w:val="ListBullet"/>
        <w:spacing w:before="0" w:after="40" w:line="240" w:lineRule="auto"/>
      </w:pPr>
      <w:r>
        <w:rPr>
          <w:rFonts w:ascii="Times New Roman" w:hAnsi="Times New Roman" w:eastAsia="Times New Roman"/>
          <w:b w:val="0"/>
          <w:i w:val="0"/>
          <w:sz w:val="18"/>
        </w:rPr>
        <w:t>[6] FIDO Alliance. Passkeys and FIDO Authentication Resources. Dostupné na: https://fidoalliance.org/passkeys/</w:t>
      </w:r>
    </w:p>
    <w:p>
      <w:r>
        <w:br w:type="page"/>
      </w:r>
    </w:p>
    <w:p/>
    <w:p/>
    <w:tbl>
      <w:tblPr>
        <w:tblW w:type="auto" w:w="0"/>
        <w:jc w:val="center"/>
        <w:tblLook w:firstColumn="1" w:firstRow="1" w:lastColumn="0" w:lastRow="0" w:noHBand="0" w:noVBand="1" w:val="04A0"/>
      </w:tblPr>
      <w:tblGrid>
        <w:gridCol w:w="4255"/>
        <w:gridCol w:w="4255"/>
      </w:tblGrid>
      <w:tr>
        <w:tc>
          <w:tcPr>
            <w:tcW w:type="dxa" w:w="8510"/>
            <w:gridSpan w:val="2"/>
            <w:tcBorders>
              <w:top w:val="single" w:sz="8" w:color="7A9BA5"/>
              <w:left w:val="single" w:sz="8" w:color="7A9BA5"/>
              <w:bottom w:val="single" w:sz="8" w:color="7A9BA5"/>
              <w:right w:val="single" w:sz="8" w:color="7A9BA5"/>
            </w:tcBorders>
            <w:shd w:fill="FFFFFF"/>
          </w:tcPr>
          <w:p>
            <w:pPr>
              <w:spacing w:after="160"/>
            </w:pPr>
            <w:r>
              <w:rPr>
                <w:rFonts w:ascii="Times New Roman" w:hAnsi="Times New Roman" w:eastAsia="Times New Roman"/>
                <w:b w:val="0"/>
                <w:i w:val="0"/>
                <w:sz w:val="21"/>
              </w:rPr>
              <w:t>Tento dokument bol vypracovaný pre projekt Nitrianske kompetenčné centrum pre kybernetickú bezpečnosť (17R05-04-V01-00003)</w:t>
            </w:r>
          </w:p>
        </w:tc>
      </w:tr>
      <w:tr>
        <w:tc>
          <w:tcPr>
            <w:tcW w:type="dxa" w:w="4255"/>
            <w:tcBorders>
              <w:top w:val="single" w:sz="8" w:color="7A9BA5"/>
              <w:left w:val="single" w:sz="8" w:color="7A9BA5"/>
              <w:bottom w:val="single" w:sz="8" w:color="7A9BA5"/>
              <w:right w:val="single" w:sz="8" w:color="7A9BA5"/>
            </w:tcBorders>
          </w:tcPr>
          <w:p>
            <w:pPr>
              <w:jc w:val="center"/>
            </w:pPr>
            <w:r>
              <w:drawing>
                <wp:inline xmlns:a="http://schemas.openxmlformats.org/drawingml/2006/main" xmlns:pic="http://schemas.openxmlformats.org/drawingml/2006/picture">
                  <wp:extent cx="1080000" cy="1080000"/>
                  <wp:docPr id="3" name="Picture 3"/>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1080000" cy="1080000"/>
                          </a:xfrm>
                          <a:prstGeom prst="rect"/>
                        </pic:spPr>
                      </pic:pic>
                    </a:graphicData>
                  </a:graphic>
                </wp:inline>
              </w:drawing>
            </w:r>
          </w:p>
        </w:tc>
        <w:tc>
          <w:tcPr>
            <w:tcW w:type="dxa" w:w="4255"/>
            <w:tcBorders>
              <w:top w:val="single" w:sz="8" w:color="7A9BA5"/>
              <w:left w:val="single" w:sz="8" w:color="7A9BA5"/>
              <w:bottom w:val="single" w:sz="8" w:color="7A9BA5"/>
              <w:right w:val="single" w:sz="8" w:color="7A9BA5"/>
            </w:tcBorders>
          </w:tcPr>
          <w:p>
            <w:pPr>
              <w:spacing w:line="300" w:lineRule="auto"/>
              <w:jc w:val="center"/>
            </w:pPr>
            <w:r>
              <w:rPr>
                <w:rFonts w:ascii="Times New Roman" w:hAnsi="Times New Roman" w:eastAsia="Times New Roman"/>
                <w:b w:val="0"/>
                <w:i w:val="0"/>
                <w:sz w:val="36"/>
              </w:rPr>
              <w:t>Nitrianske kompetenčné</w:t>
              <w:br/>
              <w:t>centrum kybernetickej</w:t>
              <w:br/>
              <w:t>bezpečnosti</w:t>
            </w:r>
          </w:p>
          <w:p>
            <w:pPr>
              <w:jc w:val="center"/>
            </w:pPr>
            <w:r>
              <w:drawing>
                <wp:inline xmlns:a="http://schemas.openxmlformats.org/drawingml/2006/main" xmlns:pic="http://schemas.openxmlformats.org/drawingml/2006/picture">
                  <wp:extent cx="1368000" cy="1159826"/>
                  <wp:docPr id="4" name="Picture 4"/>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368000" cy="1159826"/>
                          </a:xfrm>
                          <a:prstGeom prst="rect"/>
                        </pic:spPr>
                      </pic:pic>
                    </a:graphicData>
                  </a:graphic>
                </wp:inline>
              </w:drawing>
            </w:r>
          </w:p>
        </w:tc>
      </w:tr>
      <w:tr>
        <w:tc>
          <w:tcPr>
            <w:tcW w:type="dxa" w:w="8510"/>
            <w:gridSpan w:val="2"/>
            <w:tcBorders>
              <w:top w:val="single" w:sz="8" w:color="7A9BA5"/>
              <w:left w:val="single" w:sz="8" w:color="7A9BA5"/>
              <w:bottom w:val="single" w:sz="8" w:color="7A9BA5"/>
              <w:right w:val="single" w:sz="8" w:color="7A9BA5"/>
            </w:tcBorders>
          </w:tcPr>
          <w:p>
            <w:r/>
          </w:p>
        </w:tc>
      </w:tr>
    </w:tbl>
    <w:sectPr w:rsidR="00FC693F" w:rsidRPr="0006063C" w:rsidSect="00034616">
      <w:pgSz w:w="11906" w:h="16838"/>
      <w:pgMar w:top="1429" w:right="1412" w:bottom="845" w:left="19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2A5D6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2A5D6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2A5D6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