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4255"/>
        <w:gridCol w:w="4255"/>
      </w:tblGrid>
      <w:tr>
        <w:tc>
          <w:tcPr>
            <w:tcW w:type="dxa" w:w="4255"/>
            <w:tcBorders>
              <w:top w:val="nil"/>
              <w:left w:val="nil"/>
              <w:bottom w:val="nil"/>
              <w:right w:val="nil"/>
            </w:tcBorders>
          </w:tcPr>
          <w:p>
            <w:pPr>
              <w:jc w:val="left"/>
            </w:pPr>
            <w:r>
              <w:drawing>
                <wp:inline xmlns:a="http://schemas.openxmlformats.org/drawingml/2006/main" xmlns:pic="http://schemas.openxmlformats.org/drawingml/2006/picture">
                  <wp:extent cx="792000" cy="792000"/>
                  <wp:docPr id="1" name="Picture 1"/>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792000" cy="792000"/>
                          </a:xfrm>
                          <a:prstGeom prst="rect"/>
                        </pic:spPr>
                      </pic:pic>
                    </a:graphicData>
                  </a:graphic>
                </wp:inline>
              </w:drawing>
            </w:r>
          </w:p>
        </w:tc>
        <w:tc>
          <w:tcPr>
            <w:tcW w:type="dxa" w:w="4255"/>
            <w:tcBorders>
              <w:top w:val="nil"/>
              <w:left w:val="nil"/>
              <w:bottom w:val="nil"/>
              <w:right w:val="nil"/>
            </w:tcBorders>
          </w:tcPr>
          <w:p>
            <w:pPr>
              <w:jc w:val="right"/>
            </w:pPr>
            <w:r>
              <w:drawing>
                <wp:inline xmlns:a="http://schemas.openxmlformats.org/drawingml/2006/main" xmlns:pic="http://schemas.openxmlformats.org/drawingml/2006/picture">
                  <wp:extent cx="1440000" cy="1220870"/>
                  <wp:docPr id="2" name="Picture 2"/>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440000" cy="1220870"/>
                          </a:xfrm>
                          <a:prstGeom prst="rect"/>
                        </pic:spPr>
                      </pic:pic>
                    </a:graphicData>
                  </a:graphic>
                </wp:inline>
              </w:drawing>
            </w:r>
          </w:p>
        </w:tc>
      </w:tr>
    </w:tbl>
    <w:p>
      <w:pPr>
        <w:spacing w:after="40"/>
        <w:pBdr>
          <w:bottom w:val="single" w:sz="8" w:space="1" w:color="000000"/>
        </w:pBdr>
      </w:pPr>
    </w:p>
    <w:p>
      <w:pPr>
        <w:spacing w:after="0"/>
        <w:jc w:val="center"/>
      </w:pPr>
      <w:r>
        <w:rPr>
          <w:rFonts w:ascii="Times New Roman" w:hAnsi="Times New Roman" w:eastAsia="Times New Roman"/>
          <w:b w:val="0"/>
          <w:i w:val="0"/>
          <w:sz w:val="24"/>
        </w:rPr>
        <w:t>Nitrianske kompetenčné centrum kybernetickej bezpečnosti</w:t>
      </w:r>
    </w:p>
    <w:p>
      <w:pPr>
        <w:spacing w:after="0"/>
        <w:jc w:val="center"/>
      </w:pPr>
      <w:r>
        <w:rPr>
          <w:rFonts w:ascii="Times New Roman" w:hAnsi="Times New Roman" w:eastAsia="Times New Roman"/>
          <w:b w:val="0"/>
          <w:i w:val="0"/>
          <w:sz w:val="24"/>
        </w:rPr>
        <w:t>Fakulta prírodných vied a informatiky</w:t>
      </w:r>
    </w:p>
    <w:p>
      <w:pPr>
        <w:spacing w:after="0"/>
        <w:jc w:val="center"/>
      </w:pPr>
      <w:r>
        <w:rPr>
          <w:rFonts w:ascii="Times New Roman" w:hAnsi="Times New Roman" w:eastAsia="Times New Roman"/>
          <w:b w:val="0"/>
          <w:i w:val="0"/>
          <w:sz w:val="24"/>
        </w:rPr>
        <w:t>Univerzita Konštantína Filozofa v Nitre</w:t>
      </w:r>
    </w:p>
    <w:p>
      <w:pPr>
        <w:spacing w:after="0"/>
        <w:jc w:val="center"/>
      </w:pPr>
      <w:r>
        <w:rPr>
          <w:rFonts w:ascii="Times New Roman" w:hAnsi="Times New Roman" w:eastAsia="Times New Roman"/>
          <w:b w:val="0"/>
          <w:i w:val="0"/>
          <w:sz w:val="24"/>
        </w:rPr>
        <w:t>Tr. A. Hlinku 1, 949 01 Nitra</w:t>
      </w:r>
    </w:p>
    <w:p>
      <w:pPr>
        <w:spacing w:before="20"/>
        <w:pBdr>
          <w:bottom w:val="single" w:sz="8" w:space="1" w:color="000000"/>
        </w:pBdr>
      </w:pPr>
    </w:p>
    <w:p/>
    <w:p/>
    <w:p/>
    <w:p/>
    <w:p/>
    <w:p>
      <w:pPr>
        <w:spacing w:line="288" w:lineRule="auto" w:after="400"/>
        <w:jc w:val="center"/>
      </w:pPr>
      <w:r>
        <w:rPr>
          <w:rFonts w:ascii="Times New Roman" w:hAnsi="Times New Roman" w:eastAsia="Times New Roman"/>
          <w:b/>
          <w:i w:val="0"/>
          <w:color w:val="2A5D6C"/>
          <w:sz w:val="39"/>
        </w:rPr>
        <w:t>ANALÝZA BEZPEČNOSTNÝCH RIZÍK</w:t>
        <w:br/>
      </w:r>
      <w:r>
        <w:rPr>
          <w:rFonts w:ascii="Times New Roman" w:hAnsi="Times New Roman" w:eastAsia="Times New Roman"/>
          <w:b/>
          <w:i w:val="0"/>
          <w:color w:val="2A5D6C"/>
          <w:sz w:val="39"/>
        </w:rPr>
        <w:t>PRI NÁVRHU SOFTVÉRU</w:t>
        <w:br/>
      </w:r>
      <w:r>
        <w:rPr>
          <w:rFonts w:ascii="Times New Roman" w:hAnsi="Times New Roman" w:eastAsia="Times New Roman"/>
          <w:b/>
          <w:i w:val="0"/>
          <w:color w:val="2A5D6C"/>
          <w:sz w:val="33"/>
        </w:rPr>
        <w:t>POHĽAD SOFTVÉROVÉHO INŽINIERSTVA</w:t>
      </w:r>
    </w:p>
    <w:p>
      <w:pPr>
        <w:spacing w:after="120"/>
        <w:jc w:val="center"/>
      </w:pPr>
      <w:r>
        <w:rPr>
          <w:rFonts w:ascii="Times New Roman" w:hAnsi="Times New Roman" w:eastAsia="Times New Roman"/>
          <w:b w:val="0"/>
          <w:i/>
          <w:color w:val="505050"/>
          <w:sz w:val="24"/>
        </w:rPr>
        <w:t>Metodický materiál pre predmet Softvérové inžinierstvo</w:t>
      </w:r>
    </w:p>
    <w:p>
      <w:pPr>
        <w:jc w:val="center"/>
      </w:pPr>
      <w:r>
        <w:rPr>
          <w:rFonts w:ascii="Times New Roman" w:hAnsi="Times New Roman" w:eastAsia="Times New Roman"/>
          <w:b w:val="0"/>
          <w:i w:val="0"/>
          <w:color w:val="505050"/>
          <w:sz w:val="21"/>
        </w:rPr>
        <w:t>Bezpečný návrh, riadenie rizík, threat modeling a kontrolné otázky pre študentské projekty</w:t>
      </w:r>
    </w:p>
    <w:p>
      <w:r>
        <w:br w:type="page"/>
      </w:r>
    </w:p>
    <w:p>
      <w:pPr>
        <w:pStyle w:val="Heading1"/>
        <w:keepNext/>
        <w:spacing w:before="120" w:after="80"/>
      </w:pPr>
      <w:r>
        <w:rPr>
          <w:rFonts w:ascii="Times New Roman" w:hAnsi="Times New Roman" w:eastAsia="Times New Roman"/>
          <w:b/>
          <w:i w:val="0"/>
          <w:color w:val="2A5D6C"/>
          <w:sz w:val="35"/>
        </w:rPr>
        <w:t>Úvod a účel metodického materiálu</w:t>
      </w:r>
    </w:p>
    <w:p>
      <w:pPr>
        <w:spacing w:after="100" w:line="252" w:lineRule="auto"/>
      </w:pPr>
      <w:r>
        <w:rPr>
          <w:rFonts w:ascii="Times New Roman" w:hAnsi="Times New Roman" w:eastAsia="Times New Roman"/>
          <w:b w:val="0"/>
          <w:i w:val="0"/>
          <w:sz w:val="20"/>
        </w:rPr>
        <w:t>Tento metodický materiál je určený pre predmet Softvérové inžinierstvo. Jeho cieľom je ukázať, že kybernetická bezpečnosť nie je samostatná aktivita až po dokončení programovania, ale súčasť analýzy požiadaviek, architektúry, návrhu, implementácie, testovania, nasadenia a údržby softvérového systému.</w:t>
      </w:r>
    </w:p>
    <w:p>
      <w:pPr>
        <w:spacing w:after="100" w:line="252" w:lineRule="auto"/>
      </w:pPr>
      <w:r>
        <w:rPr>
          <w:rFonts w:ascii="Times New Roman" w:hAnsi="Times New Roman" w:eastAsia="Times New Roman"/>
          <w:b w:val="0"/>
          <w:i w:val="0"/>
          <w:sz w:val="20"/>
        </w:rPr>
        <w:t>Materiál slúži ako podklad pre následnú prednáškovú prezentáciu a praktické cvičenia. Zameriava sa na rozhodnutia, ktorým sa treba vyvarovať pri návrhu softvéru: nejasné bezpečnostné požiadavky, dôvera v klienta, slabá autorizácia, chýbajúce modelovanie hrozieb, ignorovanie dátových tokov, neoverené externé knižnice, nedostatočné logovanie a prevádzkové riziká.</w:t>
      </w:r>
    </w:p>
    <w:tbl>
      <w:tblPr>
        <w:tblStyle w:val="TableGrid"/>
        <w:tblW w:type="auto" w:w="0"/>
        <w:jc w:val="center"/>
        <w:tblLook w:firstColumn="1" w:firstRow="1" w:lastColumn="0" w:lastRow="0" w:noHBand="0" w:noVBand="1" w:val="04A0"/>
      </w:tblPr>
      <w:tblGrid>
        <w:gridCol w:w="8510"/>
      </w:tblGrid>
      <w:tr>
        <w:tc>
          <w:tcPr>
            <w:tcW w:type="dxa" w:w="8510"/>
            <w:shd w:fill="E2F0D9"/>
            <w:tcMar>
              <w:top w:w="85" w:type="dxa"/>
              <w:left w:w="85" w:type="dxa"/>
              <w:bottom w:w="85" w:type="dxa"/>
              <w:right w:w="85" w:type="dxa"/>
            </w:tcMar>
          </w:tcPr>
          <w:p>
            <w:pPr>
              <w:spacing w:after="40"/>
            </w:pPr>
            <w:r/>
            <w:r>
              <w:rPr>
                <w:rFonts w:ascii="Times New Roman" w:hAnsi="Times New Roman" w:eastAsia="Times New Roman"/>
                <w:b/>
                <w:i w:val="0"/>
                <w:color w:val="2A5D6C"/>
                <w:sz w:val="20"/>
              </w:rPr>
              <w:t>Didaktické vymedzenie</w:t>
            </w:r>
          </w:p>
          <w:p>
            <w:pPr>
              <w:spacing w:after="0" w:line="247" w:lineRule="auto"/>
            </w:pPr>
            <w:r>
              <w:rPr>
                <w:rFonts w:ascii="Times New Roman" w:hAnsi="Times New Roman" w:eastAsia="Times New Roman"/>
                <w:b w:val="0"/>
                <w:i w:val="0"/>
                <w:sz w:val="18"/>
              </w:rPr>
              <w:t>Materiál má obranný a inžiniersky charakter. Neobsahuje návody na útoky proti reálnym systémom. Všetky príklady sú koncipované ako návrhové chyby, kontrolné otázky a bezpečné scenáre pre architektonickú analýzu, hodnotenie študentských projektov a diskusiu v triede.</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Prečo bezpečnosť patrí do návrhu softvéru</w:t>
      </w:r>
    </w:p>
    <w:p>
      <w:pPr>
        <w:spacing w:after="100" w:line="252" w:lineRule="auto"/>
      </w:pPr>
      <w:r>
        <w:rPr>
          <w:rFonts w:ascii="Times New Roman" w:hAnsi="Times New Roman" w:eastAsia="Times New Roman"/>
          <w:b w:val="0"/>
          <w:i w:val="0"/>
          <w:sz w:val="20"/>
        </w:rPr>
        <w:t>V softvérovom inžinierstve vzniká veľká časť bezpečnostných problémov ešte pred napísaním kódu. Ak návrh neobsahuje jasné bezpečnostné požiadavky, hranice dôvery, správu identít, dátovú klasifikáciu a pravidlá pre zlyhanie systému, implementácia môže byť technicky správna, ale bezpečnostne chybná.</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Návrhová chyba</w:t>
            </w:r>
          </w:p>
        </w:tc>
        <w:tc>
          <w:tcPr>
            <w:tcW w:type="dxa" w:w="357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Prejav v projekte</w:t>
            </w:r>
          </w:p>
        </w:tc>
        <w:tc>
          <w:tcPr>
            <w:tcW w:type="dxa" w:w="266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Bezpečnostný dôsledok</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Bezpečnosť nie je požiadavka</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Analýza rieši len funkcionalitu, nie roly, práva, dáta a zneužitie.</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Tím nemá podľa čoho overiť, či je systém bezpečný.</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Dôvera v klienta</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Aplikácia predpokladá, že frontend neposiela zakázané hodnoty.</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Útočník vie obísť UI a poslať vlastný request.</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Nejasná autorizácia</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V systéme existujú roly, ale nie je definované, kto môže vidieť a meniť konkrétne objekty.</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Vzniká riziko prístupu k cudzím dátam a eskalácie práv.</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Chýbajúce modelovanie hrozieb</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Architektúra sa navrhuje bez otázky, kto môže systém zneužiť a akým spôsobom.</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Bezpečnostné problémy sa odhalia až pri testovaní alebo v prevádzke.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Neoverené závislosti</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Projekt nekontroluje knižnice, balíky, image a licencie.</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Zraniteľnosť alebo škodlivý balík sa dostane do výsledného produktu.</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Bezpečnosť v životnom cykle softvéru</w:t>
      </w:r>
    </w:p>
    <w:p>
      <w:pPr>
        <w:spacing w:after="100" w:line="252" w:lineRule="auto"/>
      </w:pPr>
      <w:r>
        <w:rPr>
          <w:rFonts w:ascii="Times New Roman" w:hAnsi="Times New Roman" w:eastAsia="Times New Roman"/>
          <w:b w:val="0"/>
          <w:i w:val="0"/>
          <w:sz w:val="20"/>
        </w:rPr>
        <w:t>Bezpečný návrh softvéru možno zaradiť do každej fázy životného cyklu. Z pohľadu výučby je dôležité, aby študenti videli bezpečnosť ako sled rozhodnutí a overení, nie ako jednorazové spustenie skenera.</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170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Fáza SDLC</w:t>
            </w:r>
          </w:p>
        </w:tc>
        <w:tc>
          <w:tcPr>
            <w:tcW w:type="dxa" w:w="453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Bezpečnostné otázky</w:t>
            </w:r>
          </w:p>
        </w:tc>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Očakávaný výstup</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Požiadavky</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Aké aktíva chránime? Aké roly existujú? Aké bezpečnostné vlastnosti musí systém spĺňať?</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Bezpečnostné požiadavky, misuse cases, klasifikácia dát.</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Analýza</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Kto sú používatelia, administrátori, externé systémy a potenciálni útočníci?</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Model aktérov, dátové toky, kontextový diagram.</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Architektúra</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Kde sú hranice dôvery? Kde sa autentifikuje a autorizuje? Ako sa izolujú dáta?</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Architektonický diagram, rozhodnutia ADR, zoznam rizík.</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Detailný návrh</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Ako sa bude validovať vstup, spravovať session, ošetrovať chyby a logovať udalosti?</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Návrhové pravidlá pre moduly, API a databázu.</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Implementácia</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Dodržiava kód bezpečné konštrukcie? Neobsahuje tajomstvá a nebezpečné skratky?</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Code review checklist, statická analýza, bezpečné knižnice.</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Testovanie</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Overujú testy aj autorizáciu, hraničné vstupy, chyby a negatívne scenáre?</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Security test cases, abuse test cases, výsledky auditov.</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Nasadenie</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Sú správne nastavené konfigurácie, TLS, tajomstvá, oprávnenia a monitoring?</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Deployment checklist, hardening, runbook.</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Údržba</w:t>
            </w:r>
          </w:p>
        </w:tc>
        <w:tc>
          <w:tcPr>
            <w:tcW w:type="dxa" w:w="45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Ako sa riešia zraniteľnosti, incidenty, zálohy a zmeny v architektúre?</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Patch proces, incident response, aktualizovaný threat model.</w:t>
            </w:r>
          </w:p>
        </w:tc>
      </w:tr>
    </w:tbl>
    <w:p>
      <w:pPr>
        <w:spacing w:after="20" w:line="252" w:lineRule="auto"/>
      </w:pPr>
    </w:p>
    <w:p>
      <w:r>
        <w:br w:type="page"/>
      </w:r>
    </w:p>
    <w:p>
      <w:pPr>
        <w:pStyle w:val="Heading1"/>
        <w:keepNext/>
        <w:spacing w:before="120" w:after="80"/>
      </w:pPr>
      <w:r>
        <w:rPr>
          <w:rFonts w:ascii="Times New Roman" w:hAnsi="Times New Roman" w:eastAsia="Times New Roman"/>
          <w:b/>
          <w:i w:val="0"/>
          <w:color w:val="2A5D6C"/>
          <w:sz w:val="35"/>
        </w:rPr>
        <w:t>Základný model analýzy rizík</w:t>
      </w:r>
    </w:p>
    <w:p>
      <w:pPr>
        <w:spacing w:after="100" w:line="252" w:lineRule="auto"/>
      </w:pPr>
      <w:r>
        <w:rPr>
          <w:rFonts w:ascii="Times New Roman" w:hAnsi="Times New Roman" w:eastAsia="Times New Roman"/>
          <w:b w:val="0"/>
          <w:i w:val="0"/>
          <w:sz w:val="20"/>
        </w:rPr>
        <w:t>Analýza bezpečnostných rizík musí byť dostatočne jednoduchá na použitie v študentskom projekte, ale zároveň presná. Odporúčaný model pracuje s aktívom, hrozbou, zraniteľnosťou, pravdepodobnosťou, dopadom, opatrením a zvyškovým rizikom.</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170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Pojem</w:t>
            </w:r>
          </w:p>
        </w:tc>
        <w:tc>
          <w:tcPr>
            <w:tcW w:type="dxa" w:w="3969"/>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Vysvetlenie</w:t>
            </w:r>
          </w:p>
        </w:tc>
        <w:tc>
          <w:tcPr>
            <w:tcW w:type="dxa" w:w="283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Príklad otázky</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Aktívum</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Hodnota, ktorú systém chráni: údaje, účty, funkcie, reputácia, dostupnosť služby.</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Čo by spôsobilo škodu, keby to bolo zverejnené, zmenené alebo nedostupné?</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Hrozba</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Nežiaduca udalosť alebo konanie, ktoré môže aktívum ohroziť.</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Kto alebo čo môže systém zneužiť?</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Zraniteľnosť</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Slabina v návrhu, implementácii, konfigurácii alebo procese.</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Ktoré rozhodnutie umožňuje hrozbe uspieť?</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Dopad</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Následok, ak sa riziko naplní.</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Čo sa stane používateľovi, škole, firme alebo systému?</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Pravdepodobnosť</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Odhad, ako realisticky môže riziko nastať.</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Je útok jednoduchý, automatizovaný, častý alebo vyžaduje špeciálne podmienky?</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Opatrenie</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Technická, procesná alebo organizačná kontrola znižujúca riziko.</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Ako riziko znížime, zistíme alebo obmedzíme jeho dopad?</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Zvyškové riziko</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Riziko, ktoré zostáva po zavedení opatrení.</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Je zostávajúce riziko prijateľné vzhľadom na cieľ projektu?</w:t>
            </w:r>
          </w:p>
        </w:tc>
      </w:tr>
    </w:tbl>
    <w:p>
      <w:pPr>
        <w:spacing w:after="20" w:line="252" w:lineRule="auto"/>
      </w:pPr>
    </w:p>
    <w:tbl>
      <w:tblPr>
        <w:tblStyle w:val="TableGrid"/>
        <w:tblW w:type="auto" w:w="0"/>
        <w:jc w:val="center"/>
        <w:tblLook w:firstColumn="1" w:firstRow="1" w:lastColumn="0" w:lastRow="0" w:noHBand="0" w:noVBand="1" w:val="04A0"/>
      </w:tblPr>
      <w:tblGrid>
        <w:gridCol w:w="8510"/>
      </w:tblGrid>
      <w:tr>
        <w:tc>
          <w:tcPr>
            <w:tcW w:type="dxa" w:w="8510"/>
            <w:shd w:fill="EAF3F7"/>
            <w:tcMar>
              <w:top w:w="85" w:type="dxa"/>
              <w:left w:w="85" w:type="dxa"/>
              <w:bottom w:w="85" w:type="dxa"/>
              <w:right w:w="85" w:type="dxa"/>
            </w:tcMar>
          </w:tcPr>
          <w:p>
            <w:pPr>
              <w:spacing w:after="40"/>
            </w:pPr>
            <w:r/>
            <w:r>
              <w:rPr>
                <w:rFonts w:ascii="Times New Roman" w:hAnsi="Times New Roman" w:eastAsia="Times New Roman"/>
                <w:b/>
                <w:i w:val="0"/>
                <w:color w:val="2A5D6C"/>
                <w:sz w:val="20"/>
              </w:rPr>
              <w:t>Odporúčaný postup pre študentov</w:t>
            </w:r>
          </w:p>
          <w:p>
            <w:pPr>
              <w:spacing w:after="0" w:line="247" w:lineRule="auto"/>
            </w:pPr>
            <w:r>
              <w:rPr>
                <w:rFonts w:ascii="Times New Roman" w:hAnsi="Times New Roman" w:eastAsia="Times New Roman"/>
                <w:b w:val="0"/>
                <w:i w:val="0"/>
                <w:sz w:val="18"/>
              </w:rPr>
              <w:t>1. Identifikovať aktíva a citlivé operácie. 2. Nakresliť kontextový diagram a dátové toky. 3. Označiť hranice dôvery. 4. Pre každý tok a komponent položiť otázku „čo sa môže pokaziť?“. 5. Zapísať riziká do registra. 6. Navrhnúť opatrenia. 7. Overiť opatrenia testom alebo kontrolnou otázkou.</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Threat modeling ako nástroj softvérového návrhu</w:t>
      </w:r>
    </w:p>
    <w:p>
      <w:pPr>
        <w:spacing w:after="100" w:line="252" w:lineRule="auto"/>
      </w:pPr>
      <w:r>
        <w:rPr>
          <w:rFonts w:ascii="Times New Roman" w:hAnsi="Times New Roman" w:eastAsia="Times New Roman"/>
          <w:b w:val="0"/>
          <w:i w:val="0"/>
          <w:sz w:val="20"/>
        </w:rPr>
        <w:t>Threat modeling pomáha odhaliť návrhové chyby ešte pred implementáciou. Vhodný je najmä pri nových moduloch, zmenách architektúry, spracovaní citlivých údajov, integrácii s externým systémom alebo pri návrhu API. Pre študentské projekty stačí zjednodušený postup založený na diagramoch, hraniciach dôvery a kontrolných otázkach.</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170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Krok</w:t>
            </w:r>
          </w:p>
        </w:tc>
        <w:tc>
          <w:tcPr>
            <w:tcW w:type="dxa" w:w="4819"/>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Činnosť</w:t>
            </w:r>
          </w:p>
        </w:tc>
        <w:tc>
          <w:tcPr>
            <w:tcW w:type="dxa" w:w="198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Výstup</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1. Rozloženie systému</w:t>
            </w:r>
          </w:p>
        </w:tc>
        <w:tc>
          <w:tcPr>
            <w:tcW w:type="dxa" w:w="481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Nakresliť používateľov, komponenty, databázy, externé služby, frontendy, backendy a administrátorské rozhrania.</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Kontextový alebo dátový diagram.</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2. Hranice dôvery</w:t>
            </w:r>
          </w:p>
        </w:tc>
        <w:tc>
          <w:tcPr>
            <w:tcW w:type="dxa" w:w="481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Označiť miesta, kde sa mení úroveň dôvery: internet/backend, používateľ/admin, aplikácia/databáza, interná/externá služba.</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Diagram s trust boundaries.</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3. Identifikácia hrozieb</w:t>
            </w:r>
          </w:p>
        </w:tc>
        <w:tc>
          <w:tcPr>
            <w:tcW w:type="dxa" w:w="481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Pre každý tok a komponent použiť otázky typu STRIDE: spoofing, tampering, repudiation, information disclosure, denial of service, elevation of privilege.</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Zoznam hrozieb.</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4. Návrh opatrení</w:t>
            </w:r>
          </w:p>
        </w:tc>
        <w:tc>
          <w:tcPr>
            <w:tcW w:type="dxa" w:w="481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Ku každej hrozbe priradiť preventívne, detekčné alebo reakčné opatrenie.</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Bezpečnostné požiadavky a návrhové rozhodnutia.</w:t>
            </w:r>
          </w:p>
        </w:tc>
      </w:tr>
      <w:tr>
        <w:tc>
          <w:tcPr>
            <w:tcW w:type="dxa" w:w="1701"/>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5. Overenie</w:t>
            </w:r>
          </w:p>
        </w:tc>
        <w:tc>
          <w:tcPr>
            <w:tcW w:type="dxa" w:w="481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Skontrolovať, či sa opatrenie dá otestovať a kto je zaň zodpovedný.</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Testovací scenár, akceptačné kritérium alebo code review bod.</w:t>
            </w:r>
          </w:p>
        </w:tc>
      </w:tr>
    </w:tbl>
    <w:p>
      <w:pPr>
        <w:spacing w:after="20" w:line="252" w:lineRule="auto"/>
      </w:pPr>
    </w:p>
    <w:p>
      <w:r>
        <w:br w:type="page"/>
      </w:r>
    </w:p>
    <w:p>
      <w:pPr>
        <w:pStyle w:val="Heading2"/>
        <w:keepNext/>
        <w:spacing w:before="80" w:after="80"/>
      </w:pPr>
      <w:r>
        <w:rPr>
          <w:rFonts w:ascii="Times New Roman" w:hAnsi="Times New Roman" w:eastAsia="Times New Roman"/>
          <w:b w:val="0"/>
          <w:i w:val="0"/>
          <w:color w:val="2A5D6C"/>
          <w:sz w:val="28"/>
        </w:rPr>
        <w:t>STRIDE otázky pre návrhovú diskusiu</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181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STRIDE oblasť</w:t>
            </w:r>
          </w:p>
        </w:tc>
        <w:tc>
          <w:tcPr>
            <w:tcW w:type="dxa" w:w="425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Kontrolná otázka pre študentov</w:t>
            </w:r>
          </w:p>
        </w:tc>
        <w:tc>
          <w:tcPr>
            <w:tcW w:type="dxa" w:w="243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Typické opatrenie</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Spoofing</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Vie sa niekto vydávať za iného používateľa, službu alebo zariadenie?</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Silná autentifikácia, overenie identity služby, bezpečná správa session.</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Tampering</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Vie útočník zmeniť dáta, parametre, objednávku, rolu alebo konfiguráciu?</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Integritné kontroly, server-side validácia, ochrana kritických operácií.</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Repudiation</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Vie používateľ poprieť citlivú akciu, pretože systém nemá dôkaz?</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Auditné logy, korelačné ID, časové značky, ochrana logov pred zmenou.</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Information disclosure</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Môžu uniknúť osobné, technické alebo obchodné údaje?</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Minimalizácia dát, šifrovanie, maskovanie, prístupové práva.</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Denial of service</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Vie jedna chyba alebo jeden používateľ znefunkčniť službu?</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Rate limiting, kvóty, timeouts, degradácia funkcionality, monitoring.</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Elevation of privilege</w:t>
            </w:r>
          </w:p>
        </w:tc>
        <w:tc>
          <w:tcPr>
            <w:tcW w:type="dxa" w:w="425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Vie používateľ získať vyššie oprávnenie alebo obísť workflow?</w:t>
            </w:r>
          </w:p>
        </w:tc>
        <w:tc>
          <w:tcPr>
            <w:tcW w:type="dxa" w:w="243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Least privilege, policy checks, oddelenie rolí, testy autorizácie.</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Analýza rizík podľa oblastí návrhu</w:t>
      </w:r>
    </w:p>
    <w:p>
      <w:pPr>
        <w:spacing w:after="100" w:line="252" w:lineRule="auto"/>
      </w:pPr>
      <w:r>
        <w:rPr>
          <w:rFonts w:ascii="Times New Roman" w:hAnsi="Times New Roman" w:eastAsia="Times New Roman"/>
          <w:b w:val="0"/>
          <w:i w:val="0"/>
          <w:sz w:val="20"/>
        </w:rPr>
        <w:t>Nasledujúce oblasti predstavujú najčastejšie miesta, kde sa pri návrhu softvéru robia bezpečnostné chyby. Pri výučbe je vhodné, aby študenti každú oblasť aplikovali na vlastný projekt alebo na pripravený modelový systém.</w:t>
      </w:r>
    </w:p>
    <w:p>
      <w:pPr>
        <w:pStyle w:val="Heading2"/>
        <w:keepNext/>
        <w:spacing w:before="80" w:after="80"/>
      </w:pPr>
      <w:r>
        <w:rPr>
          <w:rFonts w:ascii="Times New Roman" w:hAnsi="Times New Roman" w:eastAsia="Times New Roman"/>
          <w:b w:val="0"/>
          <w:i w:val="0"/>
          <w:color w:val="2A5D6C"/>
          <w:sz w:val="28"/>
        </w:rPr>
        <w:t>1. Bezpečnostné požiadavky a misuse cases</w:t>
      </w:r>
    </w:p>
    <w:tbl>
      <w:tblPr>
        <w:tblStyle w:val="TableGrid"/>
        <w:tblW w:type="auto" w:w="0"/>
        <w:jc w:val="center"/>
        <w:tblLayout w:type="autofit"/>
        <w:tblLook w:firstColumn="1" w:firstRow="1" w:lastColumn="0" w:lastRow="0" w:noHBand="0" w:noVBand="1" w:val="04A0"/>
      </w:tblPr>
      <w:tblGrid>
        <w:gridCol w:w="2127"/>
        <w:gridCol w:w="2127"/>
        <w:gridCol w:w="2127"/>
        <w:gridCol w:w="2127"/>
      </w:tblGrid>
      <w:tr>
        <w:trPr>
          <w:tblHeader w:val="true"/>
        </w:trPr>
        <w:tc>
          <w:tcPr>
            <w:tcW w:type="dxa" w:w="198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238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Ako vzniká</w:t>
            </w:r>
          </w:p>
        </w:tc>
        <w:tc>
          <w:tcPr>
            <w:tcW w:type="dxa" w:w="204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Čomu sa vyvarovať</w:t>
            </w:r>
          </w:p>
        </w:tc>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Odporúčané riešenie</w:t>
            </w:r>
          </w:p>
        </w:tc>
      </w:tr>
      <w:tr>
        <w:tc>
          <w:tcPr>
            <w:tcW w:type="dxa" w:w="198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Neexistujúce bezpečnostné požiadavky</w:t>
            </w:r>
          </w:p>
        </w:tc>
        <w:tc>
          <w:tcPr>
            <w:tcW w:type="dxa" w:w="238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opisuje len pozitívne používateľské scenáre.</w:t>
            </w:r>
          </w:p>
        </w:tc>
        <w:tc>
          <w:tcPr>
            <w:tcW w:type="dxa" w:w="204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„Bezpečnosť vyriešime neskôr.“</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Ku každej citlivej funkcii doplniť bezpečnostné akceptačné kritériá.</w:t>
            </w:r>
          </w:p>
        </w:tc>
      </w:tr>
      <w:tr>
        <w:tc>
          <w:tcPr>
            <w:tcW w:type="dxa" w:w="198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Nejasné roly a oprávnenia</w:t>
            </w:r>
          </w:p>
        </w:tc>
        <w:tc>
          <w:tcPr>
            <w:tcW w:type="dxa" w:w="238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Roly sú pomenované, ale nie sú priradené ku konkrétnym objektom a operáciám.</w:t>
            </w:r>
          </w:p>
        </w:tc>
        <w:tc>
          <w:tcPr>
            <w:tcW w:type="dxa" w:w="204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Všeobecné pravidlo „admin môže všetko“ bez revízie.</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Vytvoriť maticu rolí: kto môže čítať, vytvárať, meniť, schvaľovať a mazať.</w:t>
            </w:r>
          </w:p>
        </w:tc>
      </w:tr>
      <w:tr>
        <w:tc>
          <w:tcPr>
            <w:tcW w:type="dxa" w:w="198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Ignorovanie zneužitia</w:t>
            </w:r>
          </w:p>
        </w:tc>
        <w:tc>
          <w:tcPr>
            <w:tcW w:type="dxa" w:w="238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nerieši, čo spraví používateľ s úmyslom obísť pravidlá.</w:t>
            </w:r>
          </w:p>
        </w:tc>
        <w:tc>
          <w:tcPr>
            <w:tcW w:type="dxa" w:w="204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Testovanie len ideálnej cesty.</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Doplniť misuse cases: neoprávnený prístup, manipulácia parametrov, zneužitie obnovy účtu.</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2. Architektúra, hranice dôvery a bezpečné predvolené nastavenia</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40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Návrhový problém</w:t>
            </w:r>
          </w:p>
        </w:tc>
        <w:tc>
          <w:tcPr>
            <w:tcW w:type="dxa" w:w="283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Bezpečnostná kontrola</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Chýbajúce hranice dôvery</w:t>
            </w:r>
          </w:p>
        </w:tc>
        <w:tc>
          <w:tcPr>
            <w:tcW w:type="dxa" w:w="340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Systém nerozlišuje medzi internetom, internou sieťou, backendom, databázou a externou službou.</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Každý prechod cez hranicu dôvery musí mať validáciu, autentifikáciu, autorizáciu alebo bezpečný protokol.</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Príliš široké oprávnenia služieb</w:t>
            </w:r>
          </w:p>
        </w:tc>
        <w:tc>
          <w:tcPr>
            <w:tcW w:type="dxa" w:w="340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Jeden servisný účet má prístup ku všetkým dátam a funkciám.</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Aplikovať least privilege, oddeliť účty a oprávnenia podľa komponentov.</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Insecure by default</w:t>
            </w:r>
          </w:p>
        </w:tc>
        <w:tc>
          <w:tcPr>
            <w:tcW w:type="dxa" w:w="340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Nový používateľ, endpoint alebo konfigurácia má príliš otvorené práva.</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Predvolene zakázať citlivé operácie a povoľovať ich explicitne.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Slabá izolácia tenantov</w:t>
            </w:r>
          </w:p>
        </w:tc>
        <w:tc>
          <w:tcPr>
            <w:tcW w:type="dxa" w:w="340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Dáta viacerých organizácií alebo tried sú oddelené len na úrovni UI.</w:t>
            </w:r>
          </w:p>
        </w:tc>
        <w:tc>
          <w:tcPr>
            <w:tcW w:type="dxa" w:w="283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Vynucovať izoláciu na serveri, v dotazoch, autorizácii a testoch.</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3. Návrh dát, súkromie a kryptografia</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68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Prejav v návrhu</w:t>
            </w:r>
          </w:p>
        </w:tc>
        <w:tc>
          <w:tcPr>
            <w:tcW w:type="dxa" w:w="255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Odporúčanie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Zber zbytočných údajov</w:t>
            </w:r>
          </w:p>
        </w:tc>
        <w:tc>
          <w:tcPr>
            <w:tcW w:type="dxa" w:w="368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Aplikácia zhromažďuje údaje „pre istotu“ bez jasného účelu.</w:t>
            </w:r>
          </w:p>
        </w:tc>
        <w:tc>
          <w:tcPr>
            <w:tcW w:type="dxa" w:w="255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Minimalizovať dáta a určiť dobu uchovávania.</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Nejasná klasifikácia dát</w:t>
            </w:r>
          </w:p>
        </w:tc>
        <w:tc>
          <w:tcPr>
            <w:tcW w:type="dxa" w:w="368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nerozlišuje verejné, interné, osobné, citlivé a technické údaje.</w:t>
            </w:r>
          </w:p>
        </w:tc>
        <w:tc>
          <w:tcPr>
            <w:tcW w:type="dxa" w:w="255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Priradiť úroveň citlivosti a pravidlá prístupu ku každému typu dát.</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Domáce šifrovanie</w:t>
            </w:r>
          </w:p>
        </w:tc>
        <w:tc>
          <w:tcPr>
            <w:tcW w:type="dxa" w:w="368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navrhuje vlastný kryptografický algoritmus alebo neštandardný spôsob ukladania hesiel.</w:t>
            </w:r>
          </w:p>
        </w:tc>
        <w:tc>
          <w:tcPr>
            <w:tcW w:type="dxa" w:w="255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Používať overené knižnice, bezpečné hashovanie hesiel a správu kľúčov.</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Nelogická retencia</w:t>
            </w:r>
          </w:p>
        </w:tc>
        <w:tc>
          <w:tcPr>
            <w:tcW w:type="dxa" w:w="368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Systém uchováva staré tokeny, exporty, logy a zálohy bez pravidiel.</w:t>
            </w:r>
          </w:p>
        </w:tc>
        <w:tc>
          <w:tcPr>
            <w:tcW w:type="dxa" w:w="255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Definovať retenciu, mazanie a obnovu ako súčasť návrhu.</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4. API, rozhrania a autorizácia</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969"/>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Typická chyba</w:t>
            </w:r>
          </w:p>
        </w:tc>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Kontrolná otázka</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Object-level access control</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Endpoint vracia objekt len podľa ID bez kontroly vlastníka alebo oprávnenia.</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Overuje backend právo používateľa ku konkrétnemu objektu?</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Function-level access control</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UI skryje tlačidlo, ale API operáciu stále dovolí.</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Je autorizácia vynútená na serveri pre každú citlivú funkciu?</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Mass assignment</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Backend preberá celé telo požiadavky a zapisuje aj polia, ktoré používateľ nemá meniť.</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Existuje allowlist povolených polí pre zápis?</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Nekontrolované dátové toky</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Externý systém posiela údaje, ktoré sa bez overenia ukladajú alebo zobrazujú.</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Je vstup validovaný podľa schémy a kontextu použitia?</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Slabé limity a kvóty</w:t>
            </w:r>
          </w:p>
        </w:tc>
        <w:tc>
          <w:tcPr>
            <w:tcW w:type="dxa" w:w="3969"/>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API nemá obmedzenia pre počet pokusov, exportov alebo požiadaviek.</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Existuje rate limiting, kvóta alebo detekcia anomálií?</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5. Dodávateľský reťazec, knižnice a infraštruktúra</w:t>
      </w:r>
    </w:p>
    <w:p>
      <w:pPr>
        <w:spacing w:after="100" w:line="252" w:lineRule="auto"/>
      </w:pPr>
      <w:r>
        <w:rPr>
          <w:rFonts w:ascii="Times New Roman" w:hAnsi="Times New Roman" w:eastAsia="Times New Roman"/>
          <w:b w:val="0"/>
          <w:i w:val="0"/>
          <w:sz w:val="20"/>
        </w:rPr>
        <w:t>Moderný softvér sa skladá z vlastného kódu, knižníc, frameworkov, kontajnerov, build nástrojov, CI/CD pipeline a cloudových služieb. Z pohľadu softvérového inžinierstva ide o návrhovú závislosť, ktorú treba riadiť rovnako ako funkčné požiadavky.</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57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Čomu sa vyvarovať</w:t>
            </w:r>
          </w:p>
        </w:tc>
        <w:tc>
          <w:tcPr>
            <w:tcW w:type="dxa" w:w="266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Bezpečné opatrenie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Nekontrolované balíky</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Pridávanie knižníc bez revízie reputácie, údržby a zraniteľností.</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Použiť dependency audit, lock súbory, minimálny počet závislostí a pravidelnú aktualizáciu.</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Tajomstvá v repozitári</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Ukladanie hesiel, tokenov, API kľúčov a privátnych kľúčov do Git repozitára.</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Použiť secret scanning, premenné prostredia, vault a rotáciu tajomstiev.</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Neoverené build artefakty</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Nasadenie artefaktu bez jasného pôvodu a verzie.</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Verzovanie buildov, reprodukovateľný proces, podpisovanie alebo aspoň auditovateľná pipeline.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Zraniteľné image a služby</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Používanie starých Docker image, databáz alebo serverov bez patch procesu.</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Skenovanie image, aktualizácie, minimalizované base image a hardening.</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6. Testovanie, overenie a bezpečnostná akceptácia</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51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Slabina v procese</w:t>
            </w:r>
          </w:p>
        </w:tc>
        <w:tc>
          <w:tcPr>
            <w:tcW w:type="dxa" w:w="272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Čo požadovať pri odovzdaní projektu</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Testujú sa len úspešné scenáre</w:t>
            </w:r>
          </w:p>
        </w:tc>
        <w:tc>
          <w:tcPr>
            <w:tcW w:type="dxa" w:w="351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Testy overujú iba to, že správny používateľ vie vykonať správnu akciu.</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Negatívne testy: cudzí objekt, chýbajúce oprávnenie, zakázaná rola, neplatný vstup.</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Threat model nie je overený</w:t>
            </w:r>
          </w:p>
        </w:tc>
        <w:tc>
          <w:tcPr>
            <w:tcW w:type="dxa" w:w="351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Riziká sú zapísané, ale nikto nekontroluje opatrenia.</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Ku každému riziku uviesť test, kontrolu alebo dôkaz implementácie.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Skener nahrádza rozmýšľanie</w:t>
            </w:r>
          </w:p>
        </w:tc>
        <w:tc>
          <w:tcPr>
            <w:tcW w:type="dxa" w:w="351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spustí nástroj, ale nevie vysvetliť architektonické riziká.</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Kombinovať nástrojové skenovanie s review návrhu a manuálnymi otázkami.</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Chýba bezpečnostná akceptácia</w:t>
            </w:r>
          </w:p>
        </w:tc>
        <w:tc>
          <w:tcPr>
            <w:tcW w:type="dxa" w:w="351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nemá kritériá, pri ktorých sa nesmie odovzdať.</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Definovať blokujúce chyby: prístup k cudzím dátam, plain-text heslá, debug v produkcii, tajomstvá v repozitári.</w:t>
            </w:r>
          </w:p>
        </w:tc>
      </w:tr>
    </w:tbl>
    <w:p>
      <w:pPr>
        <w:spacing w:after="20" w:line="252" w:lineRule="auto"/>
      </w:pPr>
    </w:p>
    <w:p>
      <w:pPr>
        <w:pStyle w:val="Heading2"/>
        <w:keepNext/>
        <w:spacing w:before="80" w:after="80"/>
      </w:pPr>
      <w:r>
        <w:rPr>
          <w:rFonts w:ascii="Times New Roman" w:hAnsi="Times New Roman" w:eastAsia="Times New Roman"/>
          <w:b w:val="0"/>
          <w:i w:val="0"/>
          <w:color w:val="2A5D6C"/>
          <w:sz w:val="28"/>
        </w:rPr>
        <w:t>7. Prevádzka, monitoring a incidenty</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Riziko</w:t>
            </w:r>
          </w:p>
        </w:tc>
        <w:tc>
          <w:tcPr>
            <w:tcW w:type="dxa" w:w="357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Prejav v návrhu</w:t>
            </w:r>
          </w:p>
        </w:tc>
        <w:tc>
          <w:tcPr>
            <w:tcW w:type="dxa" w:w="266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Odporúčané riešenie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Žiadne auditné logy</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 incidente nie je možné zistiť, kto vykonal citlivú akciu.</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Logovať autentifikáciu, zmeny oprávnení, exporty, administrátorské akcie a zlyhané pokusy.</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Logovanie citlivých údajov</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Do logov sa dostávajú heslá, tokeny, celé osobné údaje alebo session identifikátory.</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Maskovať citlivé hodnoty, logovať len nevyhnutné údaje a chrániť prístup k logom.</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Neriešená obnova</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má zálohy, ale neoveruje obnovu a integritu dát.</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Definovať RPO/RTO, test obnovy a prístupové práva k zálohám.</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Bez incident procesu</w:t>
            </w:r>
          </w:p>
        </w:tc>
        <w:tc>
          <w:tcPr>
            <w:tcW w:type="dxa" w:w="357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nevie, čo urobiť pri úniku účtu alebo chybe autorizácie.</w:t>
            </w:r>
          </w:p>
        </w:tc>
        <w:tc>
          <w:tcPr>
            <w:tcW w:type="dxa" w:w="2665"/>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Pripraviť jednoduchý runbook: zastavenie škody, zber dôkazov, oprava, komunikácia, poučenie.</w:t>
            </w:r>
          </w:p>
        </w:tc>
      </w:tr>
    </w:tbl>
    <w:p>
      <w:pPr>
        <w:spacing w:after="20" w:line="252" w:lineRule="auto"/>
      </w:pPr>
    </w:p>
    <w:p>
      <w:r>
        <w:br w:type="page"/>
      </w:r>
    </w:p>
    <w:p>
      <w:pPr>
        <w:pStyle w:val="Heading1"/>
        <w:keepNext/>
        <w:spacing w:before="120" w:after="80"/>
      </w:pPr>
      <w:r>
        <w:rPr>
          <w:rFonts w:ascii="Times New Roman" w:hAnsi="Times New Roman" w:eastAsia="Times New Roman"/>
          <w:b/>
          <w:i w:val="0"/>
          <w:color w:val="2A5D6C"/>
          <w:sz w:val="35"/>
        </w:rPr>
        <w:t>Najčastejšie anti-patterny v návrhu softvéru</w:t>
      </w:r>
    </w:p>
    <w:p>
      <w:pPr>
        <w:spacing w:after="100" w:line="252" w:lineRule="auto"/>
      </w:pPr>
      <w:r>
        <w:rPr>
          <w:rFonts w:ascii="Times New Roman" w:hAnsi="Times New Roman" w:eastAsia="Times New Roman"/>
          <w:b w:val="0"/>
          <w:i w:val="0"/>
          <w:sz w:val="20"/>
        </w:rPr>
        <w:t>Anti-pattern je opakujúce sa zdanlivo jednoduché riešenie, ktoré v praxi vytvára technický alebo bezpečnostný dlh. Pri softvérovom inžinierstve je vhodné tieto vzory pomenovať, aby ich študenti vedeli rozpoznať vo vlastnom návrhu.</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32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Anti-pattern</w:t>
            </w:r>
          </w:p>
        </w:tc>
        <w:tc>
          <w:tcPr>
            <w:tcW w:type="dxa" w:w="345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Prečo je nebezpečný</w:t>
            </w:r>
          </w:p>
        </w:tc>
        <w:tc>
          <w:tcPr>
            <w:tcW w:type="dxa" w:w="272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Lepšia alternatíva</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„Frontend to nedovolí“</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Útočník nemusí používať frontend a vie poslať vlastnú požiadavku.</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Všetky pravidlá vynucovať na serveri.</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„Máme login, teda sme bezpeční“</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Autentifikácia neznamená autorizáciu ku konkrétnym dátam.</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Kontrolovať rolu a vlastníctvo objektu pri každej operácii.</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„Admin všetko vyrieši ručne“</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Manuálne výnimky zvyšujú riziko chýb a obídenia procesu.</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Navrhnúť workflow, audit a schvaľovanie citlivých zmien.</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„Dočasné heslo necháme v kóde“</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Dočasné riešenia často zostanú v repozitári alebo produkcii.</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Používať správu tajomstiev a zakázať tajomstvá v kóde.</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„Logujme všetko“</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Nadmerné logovanie môže spôsobiť únik citlivých údajov.</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Logovať bezpečnostne relevantné udalosti bez tajomstiev a nadbytočných dát.</w:t>
            </w:r>
          </w:p>
        </w:tc>
      </w:tr>
      <w:tr>
        <w:tc>
          <w:tcPr>
            <w:tcW w:type="dxa" w:w="23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„Opravíme to po nasadení“</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Bezpečnostné chyby v produkcii môžu mať okamžitý dopad.</w:t>
            </w:r>
          </w:p>
        </w:tc>
        <w:tc>
          <w:tcPr>
            <w:tcW w:type="dxa" w:w="272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Určiť blokujúce bezpečnostné chyby ešte pred odovzdaním.</w:t>
            </w:r>
          </w:p>
        </w:tc>
      </w:tr>
    </w:tbl>
    <w:p>
      <w:pPr>
        <w:spacing w:after="20" w:line="252" w:lineRule="auto"/>
      </w:pPr>
    </w:p>
    <w:tbl>
      <w:tblPr>
        <w:tblStyle w:val="TableGrid"/>
        <w:tblW w:type="auto" w:w="0"/>
        <w:jc w:val="center"/>
        <w:tblLook w:firstColumn="1" w:firstRow="1" w:lastColumn="0" w:lastRow="0" w:noHBand="0" w:noVBand="1" w:val="04A0"/>
      </w:tblPr>
      <w:tblGrid>
        <w:gridCol w:w="8510"/>
      </w:tblGrid>
      <w:tr>
        <w:tc>
          <w:tcPr>
            <w:tcW w:type="dxa" w:w="8510"/>
            <w:shd w:fill="EAF3F7"/>
            <w:tcMar>
              <w:top w:w="85" w:type="dxa"/>
              <w:left w:w="85" w:type="dxa"/>
              <w:bottom w:w="85" w:type="dxa"/>
              <w:right w:w="85" w:type="dxa"/>
            </w:tcMar>
          </w:tcPr>
          <w:p>
            <w:pPr>
              <w:spacing w:after="40"/>
            </w:pPr>
            <w:r/>
            <w:r>
              <w:rPr>
                <w:rFonts w:ascii="Times New Roman" w:hAnsi="Times New Roman" w:eastAsia="Times New Roman"/>
                <w:b/>
                <w:i w:val="0"/>
                <w:color w:val="2A5D6C"/>
                <w:sz w:val="20"/>
              </w:rPr>
              <w:t>Diskusné otázky k anti-patternom</w:t>
            </w:r>
          </w:p>
          <w:p>
            <w:pPr>
              <w:spacing w:after="0" w:line="247" w:lineRule="auto"/>
            </w:pPr>
            <w:r>
              <w:rPr>
                <w:rFonts w:ascii="Times New Roman" w:hAnsi="Times New Roman" w:eastAsia="Times New Roman"/>
                <w:b w:val="0"/>
                <w:i w:val="0"/>
                <w:sz w:val="18"/>
              </w:rPr>
              <w:t>Ktorý anti-pattern sa vo vašom projekte môže objaviť najľahšie? Ktorý by mal najväčší dopad na používateľov? Aké návrhové rozhodnutie alebo test by zabránil tomu, aby sa z anti-patternu stala reálna zraniteľnosť?</w:t>
            </w:r>
          </w:p>
        </w:tc>
      </w:tr>
    </w:tbl>
    <w:p>
      <w:pPr>
        <w:spacing w:after="20" w:line="252" w:lineRule="auto"/>
      </w:pP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181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Mini úloha</w:t>
            </w:r>
          </w:p>
        </w:tc>
        <w:tc>
          <w:tcPr>
            <w:tcW w:type="dxa" w:w="442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Postup</w:t>
            </w:r>
          </w:p>
        </w:tc>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Výstup</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1. Výber rizika</w:t>
            </w:r>
          </w:p>
        </w:tc>
        <w:tc>
          <w:tcPr>
            <w:tcW w:type="dxa" w:w="442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si vyberie jeden anti-pattern, ktorý sa môže objaviť v jeho semestrálnom projekte.</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Krátky opis rizika v kontexte projektu.</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2. Návrhové rozhodnutie</w:t>
            </w:r>
          </w:p>
        </w:tc>
        <w:tc>
          <w:tcPr>
            <w:tcW w:type="dxa" w:w="442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navrhne technické alebo procesné rozhodnutie, ktoré anti-pattern odstráni.</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ADR záznam alebo poznámka v návrhovej dokumentácii.</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3. Overenie</w:t>
            </w:r>
          </w:p>
        </w:tc>
        <w:tc>
          <w:tcPr>
            <w:tcW w:type="dxa" w:w="442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určí, ako sa dá rozhodnutie overiť testom, review otázkou alebo kontrolou konfigurácie.</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Konkrétny testovací scenár alebo checklist bod.</w:t>
            </w:r>
          </w:p>
        </w:tc>
      </w:tr>
      <w:tr>
        <w:tc>
          <w:tcPr>
            <w:tcW w:type="dxa" w:w="181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4. Zvyškové riziko</w:t>
            </w:r>
          </w:p>
        </w:tc>
        <w:tc>
          <w:tcPr>
            <w:tcW w:type="dxa" w:w="442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 posúdi, čo zostáva nevyriešené a či je zvyškové riziko prijateľné.</w:t>
            </w:r>
          </w:p>
        </w:tc>
        <w:tc>
          <w:tcPr>
            <w:tcW w:type="dxa" w:w="226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Zápis do registra rizík.</w:t>
            </w:r>
          </w:p>
        </w:tc>
      </w:tr>
    </w:tbl>
    <w:p>
      <w:pPr>
        <w:spacing w:after="20" w:line="252" w:lineRule="auto"/>
      </w:pPr>
    </w:p>
    <w:p>
      <w:r>
        <w:br w:type="page"/>
      </w:r>
    </w:p>
    <w:p>
      <w:pPr>
        <w:pStyle w:val="Heading1"/>
        <w:keepNext/>
        <w:spacing w:before="120" w:after="80"/>
      </w:pPr>
      <w:r>
        <w:rPr>
          <w:rFonts w:ascii="Times New Roman" w:hAnsi="Times New Roman" w:eastAsia="Times New Roman"/>
          <w:b/>
          <w:i w:val="0"/>
          <w:color w:val="2A5D6C"/>
          <w:sz w:val="35"/>
        </w:rPr>
        <w:t>Metodika hodnotenia študentského projektu</w:t>
      </w:r>
    </w:p>
    <w:p>
      <w:pPr>
        <w:spacing w:after="100" w:line="252" w:lineRule="auto"/>
      </w:pPr>
      <w:r>
        <w:rPr>
          <w:rFonts w:ascii="Times New Roman" w:hAnsi="Times New Roman" w:eastAsia="Times New Roman"/>
          <w:b w:val="0"/>
          <w:i w:val="0"/>
          <w:sz w:val="20"/>
        </w:rPr>
        <w:t>Nasledujúca rubrika umožňuje hodnotiť bezpečnostnú zrelosť projektu z pohľadu softvérového inžinierstva. Nehodnotí iba kód, ale aj to, či študenti premýšľali nad rizikami počas analýzy, návrhu, architektúry, testovania a prevádzky.</w:t>
      </w:r>
    </w:p>
    <w:tbl>
      <w:tblPr>
        <w:tblStyle w:val="TableGrid"/>
        <w:tblW w:type="auto" w:w="0"/>
        <w:jc w:val="center"/>
        <w:tblLayout w:type="autofit"/>
        <w:tblLook w:firstColumn="1" w:firstRow="1" w:lastColumn="0" w:lastRow="0" w:noHBand="0" w:noVBand="1" w:val="04A0"/>
      </w:tblPr>
      <w:tblGrid>
        <w:gridCol w:w="2837"/>
        <w:gridCol w:w="2837"/>
        <w:gridCol w:w="2837"/>
      </w:tblGrid>
      <w:tr>
        <w:trPr>
          <w:tblHeader w:val="true"/>
        </w:trPr>
        <w:tc>
          <w:tcPr>
            <w:tcW w:type="dxa" w:w="2835"/>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Oblasť hodnotenia</w:t>
            </w:r>
          </w:p>
        </w:tc>
        <w:tc>
          <w:tcPr>
            <w:tcW w:type="dxa" w:w="907"/>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Body</w:t>
            </w:r>
          </w:p>
        </w:tc>
        <w:tc>
          <w:tcPr>
            <w:tcW w:type="dxa" w:w="4762"/>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Čo kontrolovať</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Bezpečnostné požiadavky</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obsahuje bezpečnostné a privacy požiadavky, misuse cases a jasné akceptačné kritériá.</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Roly, oprávnenia a autorizácia</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15</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Existuje matica oprávnení; backend kontroluje prístup ku konkrétnym objektom a funkciám.</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Threat model a diagramy</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15</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má kontextový diagram, dátové toky, hranice dôvery a zoznam hlavných rizík.</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Návrh dát a ochrana súkromia</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Dáta sú klasifikované, minimalizované, majú pravidlá retencie, šifrovania a prístupu.</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Bezpečný návrh API a vstupov</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Sú definované schémy vstupov, validácia, rate limiting, ochrana citlivých operácií a chybové odpovede.</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Závislosti a supply chain</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používa dependency audit, lock súbory, aktualizácie a neukladá tajomstvá do repozitára.</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Bezpečné nasadenie a konfigurácia</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Debug je vypnutý, tajomstvá sú mimo kódu, služby majú minimálne oprávnenia, existuje deployment checklist.</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Testovanie bezpečnosti</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10</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Existujú negatívne testy, autorizačné testy a overenie opatrení z threat modelu.</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Logovanie, monitoring a incidenty</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5</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Projekt loguje citlivé akcie bez úniku tajomstiev a má jednoduchý incident runbook.</w:t>
            </w:r>
          </w:p>
        </w:tc>
      </w:tr>
      <w:tr>
        <w:tc>
          <w:tcPr>
            <w:tcW w:type="dxa" w:w="2835"/>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Dokumentácia a obhajoba rozhodnutí</w:t>
            </w:r>
          </w:p>
        </w:tc>
        <w:tc>
          <w:tcPr>
            <w:tcW w:type="dxa" w:w="90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5</w:t>
            </w:r>
          </w:p>
        </w:tc>
        <w:tc>
          <w:tcPr>
            <w:tcW w:type="dxa" w:w="4762"/>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Študenti vedia zdôvodniť bezpečnostné rozhodnutia, kompromisy a zvyškové riziká.</w:t>
            </w:r>
          </w:p>
        </w:tc>
      </w:tr>
    </w:tbl>
    <w:p>
      <w:pPr>
        <w:spacing w:after="20" w:line="252" w:lineRule="auto"/>
      </w:pPr>
    </w:p>
    <w:tbl>
      <w:tblPr>
        <w:tblStyle w:val="TableGrid"/>
        <w:tblW w:type="auto" w:w="0"/>
        <w:jc w:val="center"/>
        <w:tblLook w:firstColumn="1" w:firstRow="1" w:lastColumn="0" w:lastRow="0" w:noHBand="0" w:noVBand="1" w:val="04A0"/>
      </w:tblPr>
      <w:tblGrid>
        <w:gridCol w:w="8510"/>
      </w:tblGrid>
      <w:tr>
        <w:tc>
          <w:tcPr>
            <w:tcW w:type="dxa" w:w="8510"/>
            <w:shd w:fill="FCE4D6"/>
            <w:tcMar>
              <w:top w:w="85" w:type="dxa"/>
              <w:left w:w="85" w:type="dxa"/>
              <w:bottom w:w="85" w:type="dxa"/>
              <w:right w:w="85" w:type="dxa"/>
            </w:tcMar>
          </w:tcPr>
          <w:p>
            <w:pPr>
              <w:spacing w:after="40"/>
            </w:pPr>
            <w:r/>
            <w:r>
              <w:rPr>
                <w:rFonts w:ascii="Times New Roman" w:hAnsi="Times New Roman" w:eastAsia="Times New Roman"/>
                <w:b/>
                <w:i w:val="0"/>
                <w:color w:val="2A5D6C"/>
                <w:sz w:val="20"/>
              </w:rPr>
              <w:t>Automaticky kritické nedostatky</w:t>
            </w:r>
          </w:p>
          <w:p>
            <w:pPr>
              <w:spacing w:after="0" w:line="247" w:lineRule="auto"/>
            </w:pPr>
            <w:r>
              <w:rPr>
                <w:rFonts w:ascii="Times New Roman" w:hAnsi="Times New Roman" w:eastAsia="Times New Roman"/>
                <w:b w:val="0"/>
                <w:i w:val="0"/>
                <w:sz w:val="18"/>
              </w:rPr>
              <w:t>Za kritický nedostatok možno považovať najmä: heslá v plaintexte, možnosť zobraziť cudzie dáta zmenou ID, administrátorské funkcie bez autorizácie, tajomstvá uložené v repozitári, produkčný debug režim, chýbajúce overenie citlivej operácie na serveri alebo verejne dostupné zálohy a exporty.</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Šablóna registra rizík pre študentský projekt</w:t>
      </w:r>
    </w:p>
    <w:p>
      <w:pPr>
        <w:spacing w:after="100" w:line="252" w:lineRule="auto"/>
      </w:pPr>
      <w:r>
        <w:rPr>
          <w:rFonts w:ascii="Times New Roman" w:hAnsi="Times New Roman" w:eastAsia="Times New Roman"/>
          <w:b w:val="0"/>
          <w:i w:val="0"/>
          <w:sz w:val="20"/>
        </w:rPr>
        <w:t>Register rizík je jednoduchý pracovný nástroj, ktorý prepája návrh systému s bezpečnostným hodnotením. Študenti ho môžu viesť v tabuľke počas celého semestra.</w:t>
      </w:r>
    </w:p>
    <w:tbl>
      <w:tblPr>
        <w:tblStyle w:val="TableGrid"/>
        <w:tblW w:type="auto" w:w="0"/>
        <w:jc w:val="center"/>
        <w:tblLayout w:type="autofit"/>
        <w:tblLook w:firstColumn="1" w:firstRow="1" w:lastColumn="0" w:lastRow="0" w:noHBand="0" w:noVBand="1" w:val="04A0"/>
      </w:tblPr>
      <w:tblGrid>
        <w:gridCol w:w="1064"/>
        <w:gridCol w:w="1064"/>
        <w:gridCol w:w="1064"/>
        <w:gridCol w:w="1064"/>
        <w:gridCol w:w="1064"/>
        <w:gridCol w:w="1064"/>
        <w:gridCol w:w="1064"/>
        <w:gridCol w:w="1064"/>
      </w:tblGrid>
      <w:tr>
        <w:trPr>
          <w:tblHeader w:val="true"/>
        </w:trPr>
        <w:tc>
          <w:tcPr>
            <w:tcW w:type="dxa" w:w="62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ID</w:t>
            </w:r>
          </w:p>
        </w:tc>
        <w:tc>
          <w:tcPr>
            <w:tcW w:type="dxa" w:w="153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Aktívum</w:t>
            </w:r>
          </w:p>
        </w:tc>
        <w:tc>
          <w:tcPr>
            <w:tcW w:type="dxa" w:w="192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Hrozba / zneužitie</w:t>
            </w:r>
          </w:p>
        </w:tc>
        <w:tc>
          <w:tcPr>
            <w:tcW w:type="dxa" w:w="198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Zraniteľnosť</w:t>
            </w:r>
          </w:p>
        </w:tc>
        <w:tc>
          <w:tcPr>
            <w:tcW w:type="dxa" w:w="850"/>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Dopad</w:t>
            </w:r>
          </w:p>
        </w:tc>
        <w:tc>
          <w:tcPr>
            <w:tcW w:type="dxa" w:w="964"/>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Pravdep.</w:t>
            </w:r>
          </w:p>
        </w:tc>
        <w:tc>
          <w:tcPr>
            <w:tcW w:type="dxa" w:w="187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Opatrenie</w:t>
            </w:r>
          </w:p>
        </w:tc>
        <w:tc>
          <w:tcPr>
            <w:tcW w:type="dxa" w:w="1247"/>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3"/>
              </w:rPr>
              <w:t>Zvyškové riziko</w:t>
            </w:r>
          </w:p>
        </w:tc>
      </w:tr>
      <w:tr>
        <w:tc>
          <w:tcPr>
            <w:tcW w:type="dxa" w:w="6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3"/>
              </w:rPr>
              <w:t>R1</w:t>
            </w:r>
          </w:p>
        </w:tc>
        <w:tc>
          <w:tcPr>
            <w:tcW w:type="dxa" w:w="153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Používateľský účet</w:t>
            </w:r>
          </w:p>
        </w:tc>
        <w:tc>
          <w:tcPr>
            <w:tcW w:type="dxa" w:w="192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Neoprávnený prístup k účtu</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Slabá obnova hesla alebo chýbajúce limity</w:t>
            </w:r>
          </w:p>
        </w:tc>
        <w:tc>
          <w:tcPr>
            <w:tcW w:type="dxa" w:w="850"/>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Vysoký</w:t>
            </w:r>
          </w:p>
        </w:tc>
        <w:tc>
          <w:tcPr>
            <w:tcW w:type="dxa" w:w="96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Stredná</w:t>
            </w:r>
          </w:p>
        </w:tc>
        <w:tc>
          <w:tcPr>
            <w:tcW w:type="dxa" w:w="187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Silná obnova, rate limiting, notifikácia</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Nízke/stredné</w:t>
            </w:r>
          </w:p>
        </w:tc>
      </w:tr>
      <w:tr>
        <w:tc>
          <w:tcPr>
            <w:tcW w:type="dxa" w:w="6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3"/>
              </w:rPr>
              <w:t>R2</w:t>
            </w:r>
          </w:p>
        </w:tc>
        <w:tc>
          <w:tcPr>
            <w:tcW w:type="dxa" w:w="153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Objednávka / záznam</w:t>
            </w:r>
          </w:p>
        </w:tc>
        <w:tc>
          <w:tcPr>
            <w:tcW w:type="dxa" w:w="192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Zmena cudzieho objektu</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Endpoint kontroluje len ID, nie vlastníctvo</w:t>
            </w:r>
          </w:p>
        </w:tc>
        <w:tc>
          <w:tcPr>
            <w:tcW w:type="dxa" w:w="850"/>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Vysoký</w:t>
            </w:r>
          </w:p>
        </w:tc>
        <w:tc>
          <w:tcPr>
            <w:tcW w:type="dxa" w:w="96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Vysoká</w:t>
            </w:r>
          </w:p>
        </w:tc>
        <w:tc>
          <w:tcPr>
            <w:tcW w:type="dxa" w:w="187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Object-level autorizácia a negatívne testy</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Nízke</w:t>
            </w:r>
          </w:p>
        </w:tc>
      </w:tr>
      <w:tr>
        <w:tc>
          <w:tcPr>
            <w:tcW w:type="dxa" w:w="6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3"/>
              </w:rPr>
              <w:t>R3</w:t>
            </w:r>
          </w:p>
        </w:tc>
        <w:tc>
          <w:tcPr>
            <w:tcW w:type="dxa" w:w="153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Osobné údaje</w:t>
            </w:r>
          </w:p>
        </w:tc>
        <w:tc>
          <w:tcPr>
            <w:tcW w:type="dxa" w:w="192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Únik exportu alebo logu</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Export bez oprávnenia, logovanie citlivých dát</w:t>
            </w:r>
          </w:p>
        </w:tc>
        <w:tc>
          <w:tcPr>
            <w:tcW w:type="dxa" w:w="850"/>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Vysoký</w:t>
            </w:r>
          </w:p>
        </w:tc>
        <w:tc>
          <w:tcPr>
            <w:tcW w:type="dxa" w:w="96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Stredná</w:t>
            </w:r>
          </w:p>
        </w:tc>
        <w:tc>
          <w:tcPr>
            <w:tcW w:type="dxa" w:w="187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Maskovanie, schvaľovanie exportov, audit</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Stredné</w:t>
            </w:r>
          </w:p>
        </w:tc>
      </w:tr>
      <w:tr>
        <w:tc>
          <w:tcPr>
            <w:tcW w:type="dxa" w:w="624"/>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3"/>
              </w:rPr>
              <w:t>R4</w:t>
            </w:r>
          </w:p>
        </w:tc>
        <w:tc>
          <w:tcPr>
            <w:tcW w:type="dxa" w:w="153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Dostupnosť služby</w:t>
            </w:r>
          </w:p>
        </w:tc>
        <w:tc>
          <w:tcPr>
            <w:tcW w:type="dxa" w:w="192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Zahltenie API</w:t>
            </w:r>
          </w:p>
        </w:tc>
        <w:tc>
          <w:tcPr>
            <w:tcW w:type="dxa" w:w="198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Chýbajú limity požiadaviek</w:t>
            </w:r>
          </w:p>
        </w:tc>
        <w:tc>
          <w:tcPr>
            <w:tcW w:type="dxa" w:w="850"/>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Stredný</w:t>
            </w:r>
          </w:p>
        </w:tc>
        <w:tc>
          <w:tcPr>
            <w:tcW w:type="dxa" w:w="964"/>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Stredná</w:t>
            </w:r>
          </w:p>
        </w:tc>
        <w:tc>
          <w:tcPr>
            <w:tcW w:type="dxa" w:w="187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Rate limiting, kvóty, monitoring</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3"/>
              </w:rPr>
              <w:t>Nízke/stredné</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Kontrolné otázky pre architektonické review</w:t>
      </w:r>
    </w:p>
    <w:tbl>
      <w:tblPr>
        <w:tblStyle w:val="TableGrid"/>
        <w:tblW w:type="auto" w:w="0"/>
        <w:jc w:val="center"/>
        <w:tblLayout w:type="autofit"/>
        <w:tblLook w:firstColumn="1" w:firstRow="1" w:lastColumn="0" w:lastRow="0" w:noHBand="0" w:noVBand="1" w:val="04A0"/>
      </w:tblPr>
      <w:tblGrid>
        <w:gridCol w:w="4255"/>
        <w:gridCol w:w="4255"/>
      </w:tblGrid>
      <w:tr>
        <w:trPr>
          <w:tblHeader w:val="true"/>
        </w:trPr>
        <w:tc>
          <w:tcPr>
            <w:tcW w:type="dxa" w:w="226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Oblasť</w:t>
            </w:r>
          </w:p>
        </w:tc>
        <w:tc>
          <w:tcPr>
            <w:tcW w:type="dxa" w:w="6236"/>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5"/>
              </w:rPr>
              <w:t>Otázky, ktoré má vedieť tím zodpovedať</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Aktíva a dáta</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Aké dáta sú najcitlivejšie? Kde vznikajú, kam tečú, kde sa ukladajú a kedy sa mažú?</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Identita</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Ako systém overuje používateľa, službu alebo zariadenie? Ako rieši obnovu účtu a odhlásenie?</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Autorizácia</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Kde sa vynucuje prístupové právo? Existuje kontrola objektu, funkcie a roly?</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Hranice dôvery</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Ktorým komponentom dôverujeme a prečo? Čo sa stane, ak jeden komponent pošle škodlivý vstup?</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Chyby a zlyhania</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 systém zlyhá, zlyhá bezpečne? Neodhalí interné informácie alebo nedovolí obísť pravidlá?</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Externé služby</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Aké závislosti a API používame? Čo sa stane pri výpadku, kompromitácii alebo zmene správania služby?</w:t>
            </w:r>
          </w:p>
        </w:tc>
      </w:tr>
      <w:tr>
        <w:tc>
          <w:tcPr>
            <w:tcW w:type="dxa" w:w="226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5"/>
              </w:rPr>
              <w:t>Prevádzka</w:t>
            </w:r>
          </w:p>
        </w:tc>
        <w:tc>
          <w:tcPr>
            <w:tcW w:type="dxa" w:w="6236"/>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5"/>
              </w:rPr>
              <w:t>Ako zistíme incident? Kto má prístup k logom, zálohám, konfigurácii a tajomstvám?</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Návrh praktických aktivít na cvičenie</w:t>
      </w:r>
    </w:p>
    <w:tbl>
      <w:tblPr>
        <w:tblStyle w:val="TableGrid"/>
        <w:tblW w:type="auto" w:w="0"/>
        <w:jc w:val="center"/>
        <w:tblLayout w:type="autofit"/>
        <w:tblLook w:firstColumn="1" w:firstRow="1" w:lastColumn="0" w:lastRow="0" w:noHBand="0" w:noVBand="1" w:val="04A0"/>
      </w:tblPr>
      <w:tblGrid>
        <w:gridCol w:w="2127"/>
        <w:gridCol w:w="2127"/>
        <w:gridCol w:w="2127"/>
        <w:gridCol w:w="2127"/>
      </w:tblGrid>
      <w:tr>
        <w:trPr>
          <w:tblHeader w:val="true"/>
        </w:trPr>
        <w:tc>
          <w:tcPr>
            <w:tcW w:type="dxa" w:w="209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Aktivita</w:t>
            </w:r>
          </w:p>
        </w:tc>
        <w:tc>
          <w:tcPr>
            <w:tcW w:type="dxa" w:w="1247"/>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Forma</w:t>
            </w:r>
          </w:p>
        </w:tc>
        <w:tc>
          <w:tcPr>
            <w:tcW w:type="dxa" w:w="3458"/>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Zadanie</w:t>
            </w:r>
          </w:p>
        </w:tc>
        <w:tc>
          <w:tcPr>
            <w:tcW w:type="dxa" w:w="1701"/>
            <w:vAlign w:val="top"/>
            <w:shd w:fill="DDEBF0"/>
            <w:tcMar>
              <w:top w:w="65" w:type="dxa"/>
              <w:left w:w="65" w:type="dxa"/>
              <w:bottom w:w="65" w:type="dxa"/>
              <w:right w:w="65" w:type="dxa"/>
            </w:tcMar>
          </w:tcPr>
          <w:p>
            <w:pPr>
              <w:spacing w:after="20" w:line="240" w:lineRule="auto"/>
              <w:jc w:val="center"/>
            </w:pPr>
            <w:r/>
            <w:r>
              <w:rPr>
                <w:rFonts w:ascii="Times New Roman" w:hAnsi="Times New Roman" w:eastAsia="Times New Roman"/>
                <w:b/>
                <w:i w:val="0"/>
                <w:color w:val="2A5D6C"/>
                <w:sz w:val="14"/>
              </w:rPr>
              <w:t>Výstup</w:t>
            </w:r>
          </w:p>
        </w:tc>
      </w:tr>
      <w:tr>
        <w:tc>
          <w:tcPr>
            <w:tcW w:type="dxa" w:w="209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Bezpečnostné požiadavky</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Tímová práca</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Študenti dostanú opis aplikácie a doplnia bezpečnostné požiadavky a misuse cases.</w:t>
            </w:r>
          </w:p>
        </w:tc>
        <w:tc>
          <w:tcPr>
            <w:tcW w:type="dxa" w:w="170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Zoznam požiadaviek a akceptačných kritérií.</w:t>
            </w:r>
          </w:p>
        </w:tc>
      </w:tr>
      <w:tr>
        <w:tc>
          <w:tcPr>
            <w:tcW w:type="dxa" w:w="209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Threat modeling mini-workshop</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Skupiny</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Nakresliť komponenty, dátové toky a hranice dôvery pre modelový systém.</w:t>
            </w:r>
          </w:p>
        </w:tc>
        <w:tc>
          <w:tcPr>
            <w:tcW w:type="dxa" w:w="170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Diagram a zoznam TOP 5 rizík.</w:t>
            </w:r>
          </w:p>
        </w:tc>
      </w:tr>
      <w:tr>
        <w:tc>
          <w:tcPr>
            <w:tcW w:type="dxa" w:w="209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Architektonické review</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Diskusia</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Každá skupina obháji návrh pred „bezpečnostnou komisiou“.</w:t>
            </w:r>
          </w:p>
        </w:tc>
        <w:tc>
          <w:tcPr>
            <w:tcW w:type="dxa" w:w="170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Zoznam pripomienok a rozhodnutí.</w:t>
            </w:r>
          </w:p>
        </w:tc>
      </w:tr>
      <w:tr>
        <w:tc>
          <w:tcPr>
            <w:tcW w:type="dxa" w:w="209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Register rizík</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Individuálne/tímovo</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Pre vlastný semestrálny projekt vyplniť minimálne 8 rizík.</w:t>
            </w:r>
          </w:p>
        </w:tc>
        <w:tc>
          <w:tcPr>
            <w:tcW w:type="dxa" w:w="170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Register rizík s opatreniami a zvyškovým rizikom.</w:t>
            </w:r>
          </w:p>
        </w:tc>
      </w:tr>
      <w:tr>
        <w:tc>
          <w:tcPr>
            <w:tcW w:type="dxa" w:w="2098"/>
            <w:vAlign w:val="top"/>
            <w:shd w:fill="F3F8FA"/>
            <w:tcMar>
              <w:top w:w="65" w:type="dxa"/>
              <w:left w:w="65" w:type="dxa"/>
              <w:bottom w:w="65" w:type="dxa"/>
              <w:right w:w="65" w:type="dxa"/>
            </w:tcMar>
          </w:tcPr>
          <w:p>
            <w:pPr>
              <w:spacing w:after="20" w:line="240" w:lineRule="auto"/>
            </w:pPr>
            <w:r/>
            <w:r>
              <w:rPr>
                <w:rFonts w:ascii="Times New Roman" w:hAnsi="Times New Roman" w:eastAsia="Times New Roman"/>
                <w:b/>
                <w:i w:val="0"/>
                <w:sz w:val="14"/>
              </w:rPr>
              <w:t>Negatívne testovacie scenáre</w:t>
            </w:r>
          </w:p>
        </w:tc>
        <w:tc>
          <w:tcPr>
            <w:tcW w:type="dxa" w:w="1247"/>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Praktická úloha</w:t>
            </w:r>
          </w:p>
        </w:tc>
        <w:tc>
          <w:tcPr>
            <w:tcW w:type="dxa" w:w="3458"/>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Doplniť testy, ktoré overujú, že používateľ nemôže robiť zakázané akcie.</w:t>
            </w:r>
          </w:p>
        </w:tc>
        <w:tc>
          <w:tcPr>
            <w:tcW w:type="dxa" w:w="1701"/>
            <w:vAlign w:val="top"/>
            <w:tcMar>
              <w:top w:w="65" w:type="dxa"/>
              <w:left w:w="65" w:type="dxa"/>
              <w:bottom w:w="65" w:type="dxa"/>
              <w:right w:w="65" w:type="dxa"/>
            </w:tcMar>
          </w:tcPr>
          <w:p>
            <w:pPr>
              <w:spacing w:after="20" w:line="240" w:lineRule="auto"/>
            </w:pPr>
            <w:r/>
            <w:r>
              <w:rPr>
                <w:rFonts w:ascii="Times New Roman" w:hAnsi="Times New Roman" w:eastAsia="Times New Roman"/>
                <w:b w:val="0"/>
                <w:i w:val="0"/>
                <w:sz w:val="14"/>
              </w:rPr>
              <w:t>Testovacia matica.</w:t>
            </w:r>
          </w:p>
        </w:tc>
      </w:tr>
    </w:tbl>
    <w:p>
      <w:pPr>
        <w:spacing w:after="20" w:line="252" w:lineRule="auto"/>
      </w:pPr>
    </w:p>
    <w:p>
      <w:pPr>
        <w:pStyle w:val="Heading1"/>
        <w:keepNext/>
        <w:spacing w:before="120" w:after="80"/>
      </w:pPr>
      <w:r>
        <w:rPr>
          <w:rFonts w:ascii="Times New Roman" w:hAnsi="Times New Roman" w:eastAsia="Times New Roman"/>
          <w:b/>
          <w:i w:val="0"/>
          <w:color w:val="2A5D6C"/>
          <w:sz w:val="35"/>
        </w:rPr>
        <w:t>Odporúčaná štruktúra následnej prezentácie</w:t>
      </w:r>
    </w:p>
    <w:p>
      <w:pPr>
        <w:spacing w:after="100" w:line="252" w:lineRule="auto"/>
      </w:pPr>
      <w:r>
        <w:rPr>
          <w:rFonts w:ascii="Times New Roman" w:hAnsi="Times New Roman" w:eastAsia="Times New Roman"/>
          <w:b w:val="0"/>
          <w:i w:val="0"/>
          <w:sz w:val="20"/>
        </w:rPr>
        <w:t>Následná prezentácia k tomuto materiálu môže byť postavená ako prechod od softvérového inžinierstva k praktickému bezpečnému návrhu. Odporúčaná štruktúra je:</w:t>
      </w:r>
    </w:p>
    <w:p>
      <w:pPr>
        <w:pStyle w:val="ListNumber"/>
        <w:spacing w:after="40" w:line="240" w:lineRule="auto"/>
        <w:ind w:left="255"/>
      </w:pPr>
      <w:r>
        <w:rPr>
          <w:rFonts w:ascii="Times New Roman" w:hAnsi="Times New Roman" w:eastAsia="Times New Roman"/>
          <w:b w:val="0"/>
          <w:i w:val="0"/>
          <w:sz w:val="18"/>
        </w:rPr>
        <w:t>Prečo bezpečnostné chyby vznikajú už v analýze a návrhu.</w:t>
      </w:r>
    </w:p>
    <w:p>
      <w:pPr>
        <w:pStyle w:val="ListNumber"/>
        <w:spacing w:after="40" w:line="240" w:lineRule="auto"/>
        <w:ind w:left="255"/>
      </w:pPr>
      <w:r>
        <w:rPr>
          <w:rFonts w:ascii="Times New Roman" w:hAnsi="Times New Roman" w:eastAsia="Times New Roman"/>
          <w:b w:val="0"/>
          <w:i w:val="0"/>
          <w:sz w:val="18"/>
        </w:rPr>
        <w:t>Bezpečnosť ako súčasť SDLC: od požiadaviek po údržbu.</w:t>
      </w:r>
    </w:p>
    <w:p>
      <w:pPr>
        <w:pStyle w:val="ListNumber"/>
        <w:spacing w:after="40" w:line="240" w:lineRule="auto"/>
        <w:ind w:left="255"/>
      </w:pPr>
      <w:r>
        <w:rPr>
          <w:rFonts w:ascii="Times New Roman" w:hAnsi="Times New Roman" w:eastAsia="Times New Roman"/>
          <w:b w:val="0"/>
          <w:i w:val="0"/>
          <w:sz w:val="18"/>
        </w:rPr>
        <w:t>Aktíva, hrozby, zraniteľnosti a register rizík.</w:t>
      </w:r>
    </w:p>
    <w:p>
      <w:pPr>
        <w:pStyle w:val="ListNumber"/>
        <w:spacing w:after="40" w:line="240" w:lineRule="auto"/>
        <w:ind w:left="255"/>
      </w:pPr>
      <w:r>
        <w:rPr>
          <w:rFonts w:ascii="Times New Roman" w:hAnsi="Times New Roman" w:eastAsia="Times New Roman"/>
          <w:b w:val="0"/>
          <w:i w:val="0"/>
          <w:sz w:val="18"/>
        </w:rPr>
        <w:t>Threat modeling, hranice dôvery a STRIDE otázky.</w:t>
      </w:r>
    </w:p>
    <w:p>
      <w:pPr>
        <w:pStyle w:val="ListNumber"/>
        <w:spacing w:after="40" w:line="240" w:lineRule="auto"/>
        <w:ind w:left="255"/>
      </w:pPr>
      <w:r>
        <w:rPr>
          <w:rFonts w:ascii="Times New Roman" w:hAnsi="Times New Roman" w:eastAsia="Times New Roman"/>
          <w:b w:val="0"/>
          <w:i w:val="0"/>
          <w:sz w:val="18"/>
        </w:rPr>
        <w:t>Najčastejšie návrhové anti-patterny a čomu sa vyvarovať.</w:t>
      </w:r>
    </w:p>
    <w:p>
      <w:pPr>
        <w:pStyle w:val="ListNumber"/>
        <w:spacing w:after="40" w:line="240" w:lineRule="auto"/>
        <w:ind w:left="255"/>
      </w:pPr>
      <w:r>
        <w:rPr>
          <w:rFonts w:ascii="Times New Roman" w:hAnsi="Times New Roman" w:eastAsia="Times New Roman"/>
          <w:b w:val="0"/>
          <w:i w:val="0"/>
          <w:sz w:val="18"/>
        </w:rPr>
        <w:t>Bezpečný návrh autorizácie, API, dát a konfigurácie.</w:t>
      </w:r>
    </w:p>
    <w:p>
      <w:pPr>
        <w:pStyle w:val="ListNumber"/>
        <w:spacing w:after="40" w:line="240" w:lineRule="auto"/>
        <w:ind w:left="255"/>
      </w:pPr>
      <w:r>
        <w:rPr>
          <w:rFonts w:ascii="Times New Roman" w:hAnsi="Times New Roman" w:eastAsia="Times New Roman"/>
          <w:b w:val="0"/>
          <w:i w:val="0"/>
          <w:sz w:val="18"/>
        </w:rPr>
        <w:t>Supply chain, závislosti, tajomstvá a deployment riziká.</w:t>
      </w:r>
    </w:p>
    <w:p>
      <w:pPr>
        <w:pStyle w:val="ListNumber"/>
        <w:spacing w:after="40" w:line="240" w:lineRule="auto"/>
        <w:ind w:left="255"/>
      </w:pPr>
      <w:r>
        <w:rPr>
          <w:rFonts w:ascii="Times New Roman" w:hAnsi="Times New Roman" w:eastAsia="Times New Roman"/>
          <w:b w:val="0"/>
          <w:i w:val="0"/>
          <w:sz w:val="18"/>
        </w:rPr>
        <w:t>Checklist pre študentský projekt a odporúčaná dokumentácia.</w:t>
      </w:r>
    </w:p>
    <w:p>
      <w:pPr>
        <w:pStyle w:val="ListNumber"/>
        <w:spacing w:after="40" w:line="240" w:lineRule="auto"/>
        <w:ind w:left="255"/>
      </w:pPr>
      <w:r>
        <w:rPr>
          <w:rFonts w:ascii="Times New Roman" w:hAnsi="Times New Roman" w:eastAsia="Times New Roman"/>
          <w:b w:val="0"/>
          <w:i w:val="0"/>
          <w:sz w:val="18"/>
        </w:rPr>
        <w:t>Praktická skupinová aktivita: návrh rizík pre modelovú aplikáciu.</w:t>
      </w:r>
    </w:p>
    <w:p>
      <w:r>
        <w:br w:type="page"/>
      </w:r>
    </w:p>
    <w:p>
      <w:pPr>
        <w:pStyle w:val="Heading1"/>
        <w:keepNext/>
        <w:spacing w:before="120" w:after="80"/>
      </w:pPr>
      <w:r>
        <w:rPr>
          <w:rFonts w:ascii="Times New Roman" w:hAnsi="Times New Roman" w:eastAsia="Times New Roman"/>
          <w:b/>
          <w:i w:val="0"/>
          <w:color w:val="2A5D6C"/>
          <w:sz w:val="35"/>
        </w:rPr>
        <w:t>Použitá literatúra a odporúčané zdroje</w:t>
      </w:r>
    </w:p>
    <w:p>
      <w:pPr>
        <w:pStyle w:val="ListBullet"/>
        <w:spacing w:after="20" w:line="240" w:lineRule="auto"/>
      </w:pPr>
      <w:r>
        <w:rPr>
          <w:rFonts w:ascii="Times New Roman" w:hAnsi="Times New Roman" w:eastAsia="Times New Roman"/>
          <w:b w:val="0"/>
          <w:i w:val="0"/>
          <w:sz w:val="16"/>
        </w:rPr>
        <w:t>[1] NIST. Secure Software Development Framework (SSDF) Version 1.1, SP 800-218. Dostupné na: https://csrc.nist.gov/pubs/sp/800/218/final</w:t>
      </w:r>
    </w:p>
    <w:p>
      <w:pPr>
        <w:pStyle w:val="ListBullet"/>
        <w:spacing w:after="20" w:line="240" w:lineRule="auto"/>
      </w:pPr>
      <w:r>
        <w:rPr>
          <w:rFonts w:ascii="Times New Roman" w:hAnsi="Times New Roman" w:eastAsia="Times New Roman"/>
          <w:b w:val="0"/>
          <w:i w:val="0"/>
          <w:sz w:val="16"/>
        </w:rPr>
        <w:t>[2] NIST. Engineering Trustworthy Secure Systems, SP 800-160 Volume 1 Revision 1. Dostupné na: https://csrc.nist.gov/pubs/sp/800/160/v1/r1/final</w:t>
      </w:r>
    </w:p>
    <w:p>
      <w:pPr>
        <w:pStyle w:val="ListBullet"/>
        <w:spacing w:after="20" w:line="240" w:lineRule="auto"/>
      </w:pPr>
      <w:r>
        <w:rPr>
          <w:rFonts w:ascii="Times New Roman" w:hAnsi="Times New Roman" w:eastAsia="Times New Roman"/>
          <w:b w:val="0"/>
          <w:i w:val="0"/>
          <w:sz w:val="16"/>
        </w:rPr>
        <w:t>[3] CISA. Secure by Design. Dostupné na: https://www.cisa.gov/securebydesign</w:t>
      </w:r>
    </w:p>
    <w:p>
      <w:pPr>
        <w:pStyle w:val="ListBullet"/>
        <w:spacing w:after="20" w:line="240" w:lineRule="auto"/>
      </w:pPr>
      <w:r>
        <w:rPr>
          <w:rFonts w:ascii="Times New Roman" w:hAnsi="Times New Roman" w:eastAsia="Times New Roman"/>
          <w:b w:val="0"/>
          <w:i w:val="0"/>
          <w:sz w:val="16"/>
        </w:rPr>
        <w:t>[4] OWASP. Software Assurance Maturity Model (SAMM). Dostupné na: https://owasp.org/www-project-samm/</w:t>
      </w:r>
    </w:p>
    <w:p>
      <w:pPr>
        <w:pStyle w:val="ListBullet"/>
        <w:spacing w:after="20" w:line="240" w:lineRule="auto"/>
      </w:pPr>
      <w:r>
        <w:rPr>
          <w:rFonts w:ascii="Times New Roman" w:hAnsi="Times New Roman" w:eastAsia="Times New Roman"/>
          <w:b w:val="0"/>
          <w:i w:val="0"/>
          <w:sz w:val="16"/>
        </w:rPr>
        <w:t>[5] OWASP. Application Security Verification Standard (ASVS). Dostupné na: https://owasp.org/www-project-application-security-verification-standard/</w:t>
      </w:r>
    </w:p>
    <w:p>
      <w:pPr>
        <w:pStyle w:val="ListBullet"/>
        <w:spacing w:after="20" w:line="240" w:lineRule="auto"/>
      </w:pPr>
      <w:r>
        <w:rPr>
          <w:rFonts w:ascii="Times New Roman" w:hAnsi="Times New Roman" w:eastAsia="Times New Roman"/>
          <w:b w:val="0"/>
          <w:i w:val="0"/>
          <w:sz w:val="16"/>
        </w:rPr>
        <w:t>[6] OWASP. Threat Modeling Cheat Sheet. Dostupné na: https://cheatsheetseries.owasp.org/cheatsheets/Threat_Modeling_Cheat_Sheet.html</w:t>
      </w:r>
    </w:p>
    <w:p>
      <w:pPr>
        <w:pStyle w:val="ListBullet"/>
        <w:spacing w:after="20" w:line="240" w:lineRule="auto"/>
      </w:pPr>
      <w:r>
        <w:rPr>
          <w:rFonts w:ascii="Times New Roman" w:hAnsi="Times New Roman" w:eastAsia="Times New Roman"/>
          <w:b w:val="0"/>
          <w:i w:val="0"/>
          <w:sz w:val="16"/>
        </w:rPr>
        <w:t>[7] Microsoft. Security Development Lifecycle (SDL). Dostupné na: https://www.microsoft.com/en-us/securityengineering/sdl</w:t>
      </w:r>
    </w:p>
    <w:p>
      <w:pPr>
        <w:pStyle w:val="ListBullet"/>
        <w:spacing w:after="20" w:line="240" w:lineRule="auto"/>
      </w:pPr>
      <w:r>
        <w:rPr>
          <w:rFonts w:ascii="Times New Roman" w:hAnsi="Times New Roman" w:eastAsia="Times New Roman"/>
          <w:b w:val="0"/>
          <w:i w:val="0"/>
          <w:sz w:val="16"/>
        </w:rPr>
        <w:t>[8] Microsoft. Threat Modeling. Dostupné na: https://www.microsoft.com/en-us/securityengineering/sdl/threatmodeling</w:t>
      </w:r>
    </w:p>
    <w:p>
      <w:pPr>
        <w:pStyle w:val="ListBullet"/>
        <w:spacing w:after="20" w:line="240" w:lineRule="auto"/>
      </w:pPr>
      <w:r>
        <w:rPr>
          <w:rFonts w:ascii="Times New Roman" w:hAnsi="Times New Roman" w:eastAsia="Times New Roman"/>
          <w:b w:val="0"/>
          <w:i w:val="0"/>
          <w:sz w:val="16"/>
        </w:rPr>
        <w:t>[9] OWASP. Top 10:2025. Dostupné na: https://owasp.org/Top10/2025/en/</w:t>
      </w:r>
    </w:p>
    <w:p>
      <w:r>
        <w:br w:type="page"/>
      </w:r>
    </w:p>
    <w:tbl>
      <w:tblPr>
        <w:tblW w:type="auto" w:w="0"/>
        <w:jc w:val="center"/>
        <w:tblLook w:firstColumn="1" w:firstRow="1" w:lastColumn="0" w:lastRow="0" w:noHBand="0" w:noVBand="1" w:val="04A0"/>
      </w:tblPr>
      <w:tblGrid>
        <w:gridCol w:w="4255"/>
        <w:gridCol w:w="4255"/>
      </w:tblGrid>
      <w:tr>
        <w:tc>
          <w:tcPr>
            <w:tcW w:type="dxa" w:w="8510"/>
            <w:gridSpan w:val="2"/>
            <w:tcBorders>
              <w:top w:val="single" w:sz="8" w:color="7A9BA5"/>
              <w:left w:val="single" w:sz="8" w:color="7A9BA5"/>
              <w:bottom w:val="single" w:sz="8" w:color="7A9BA5"/>
              <w:right w:val="single" w:sz="8" w:color="7A9BA5"/>
            </w:tcBorders>
            <w:shd w:fill="FFFFFF"/>
          </w:tcPr>
          <w:p>
            <w:pPr>
              <w:spacing w:after="160"/>
            </w:pPr>
            <w:r>
              <w:rPr>
                <w:rFonts w:ascii="Times New Roman" w:hAnsi="Times New Roman" w:eastAsia="Times New Roman"/>
                <w:b w:val="0"/>
                <w:i w:val="0"/>
                <w:sz w:val="21"/>
              </w:rPr>
              <w:t>Tento dokument bol vypracovaný pre projekt Nitrianske kompetenčné centrum pre kybernetickú bezpečnosť (17R05-04-V01-00003)</w:t>
            </w:r>
          </w:p>
        </w:tc>
      </w:tr>
      <w:tr>
        <w:tc>
          <w:tcPr>
            <w:tcW w:type="dxa" w:w="4255"/>
            <w:tcBorders>
              <w:top w:val="single" w:sz="8" w:color="7A9BA5"/>
              <w:left w:val="single" w:sz="8" w:color="7A9BA5"/>
              <w:bottom w:val="single" w:sz="8" w:color="7A9BA5"/>
              <w:right w:val="single" w:sz="8" w:color="7A9BA5"/>
            </w:tcBorders>
          </w:tcPr>
          <w:p>
            <w:pPr>
              <w:jc w:val="center"/>
            </w:pPr>
            <w:r>
              <w:drawing>
                <wp:inline xmlns:a="http://schemas.openxmlformats.org/drawingml/2006/main" xmlns:pic="http://schemas.openxmlformats.org/drawingml/2006/picture">
                  <wp:extent cx="1080000" cy="1080000"/>
                  <wp:docPr id="3" name="Picture 3"/>
                  <wp:cNvGraphicFramePr>
                    <a:graphicFrameLocks noChangeAspect="1"/>
                  </wp:cNvGraphicFramePr>
                  <a:graphic>
                    <a:graphicData uri="http://schemas.openxmlformats.org/drawingml/2006/picture">
                      <pic:pic>
                        <pic:nvPicPr>
                          <pic:cNvPr id="0" name="image1.png"/>
                          <pic:cNvPicPr/>
                        </pic:nvPicPr>
                        <pic:blipFill>
                          <a:blip r:embed="rId9"/>
                          <a:stretch>
                            <a:fillRect/>
                          </a:stretch>
                        </pic:blipFill>
                        <pic:spPr>
                          <a:xfrm>
                            <a:off x="0" y="0"/>
                            <a:ext cx="1080000" cy="1080000"/>
                          </a:xfrm>
                          <a:prstGeom prst="rect"/>
                        </pic:spPr>
                      </pic:pic>
                    </a:graphicData>
                  </a:graphic>
                </wp:inline>
              </w:drawing>
            </w:r>
          </w:p>
        </w:tc>
        <w:tc>
          <w:tcPr>
            <w:tcW w:type="dxa" w:w="4255"/>
            <w:tcBorders>
              <w:top w:val="single" w:sz="8" w:color="7A9BA5"/>
              <w:left w:val="single" w:sz="8" w:color="7A9BA5"/>
              <w:bottom w:val="single" w:sz="8" w:color="7A9BA5"/>
              <w:right w:val="single" w:sz="8" w:color="7A9BA5"/>
            </w:tcBorders>
          </w:tcPr>
          <w:p>
            <w:pPr>
              <w:spacing w:line="300" w:lineRule="auto"/>
              <w:jc w:val="center"/>
            </w:pPr>
            <w:r>
              <w:rPr>
                <w:rFonts w:ascii="Times New Roman" w:hAnsi="Times New Roman" w:eastAsia="Times New Roman"/>
                <w:b w:val="0"/>
                <w:i w:val="0"/>
                <w:sz w:val="36"/>
              </w:rPr>
              <w:t>Nitrianske kompetenčné</w:t>
              <w:br/>
              <w:t>centrum kybernetickej</w:t>
              <w:br/>
              <w:t>bezpečnosti</w:t>
            </w:r>
          </w:p>
          <w:p>
            <w:pPr>
              <w:jc w:val="center"/>
            </w:pPr>
            <w:r>
              <w:drawing>
                <wp:inline xmlns:a="http://schemas.openxmlformats.org/drawingml/2006/main" xmlns:pic="http://schemas.openxmlformats.org/drawingml/2006/picture">
                  <wp:extent cx="1368000" cy="1159826"/>
                  <wp:docPr id="4" name="Picture 4"/>
                  <wp:cNvGraphicFramePr>
                    <a:graphicFrameLocks noChangeAspect="1"/>
                  </wp:cNvGraphicFramePr>
                  <a:graphic>
                    <a:graphicData uri="http://schemas.openxmlformats.org/drawingml/2006/picture">
                      <pic:pic>
                        <pic:nvPicPr>
                          <pic:cNvPr id="0" name="image2.png"/>
                          <pic:cNvPicPr/>
                        </pic:nvPicPr>
                        <pic:blipFill>
                          <a:blip r:embed="rId10"/>
                          <a:stretch>
                            <a:fillRect/>
                          </a:stretch>
                        </pic:blipFill>
                        <pic:spPr>
                          <a:xfrm>
                            <a:off x="0" y="0"/>
                            <a:ext cx="1368000" cy="1159826"/>
                          </a:xfrm>
                          <a:prstGeom prst="rect"/>
                        </pic:spPr>
                      </pic:pic>
                    </a:graphicData>
                  </a:graphic>
                </wp:inline>
              </w:drawing>
            </w:r>
          </w:p>
        </w:tc>
      </w:tr>
      <w:tr>
        <w:tc>
          <w:tcPr>
            <w:tcW w:type="dxa" w:w="8510"/>
            <w:gridSpan w:val="2"/>
            <w:tcBorders>
              <w:top w:val="single" w:sz="8" w:color="7A9BA5"/>
              <w:left w:val="single" w:sz="8" w:color="7A9BA5"/>
              <w:bottom w:val="single" w:sz="8" w:color="7A9BA5"/>
              <w:right w:val="single" w:sz="8" w:color="7A9BA5"/>
            </w:tcBorders>
          </w:tcPr>
          <w:p>
            <w:r/>
          </w:p>
        </w:tc>
      </w:tr>
    </w:tbl>
    <w:sectPr w:rsidR="00FC693F" w:rsidRPr="0006063C" w:rsidSect="00034616">
      <w:pgSz w:w="11906" w:h="16838"/>
      <w:pgMar w:top="1429" w:right="1412" w:bottom="845" w:left="19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2A5D6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2A5D6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eastAsia="Times New Roman"/>
      <w:b/>
      <w:bCs/>
      <w:color w:val="2A5D6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